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02ECC" w14:textId="77777777" w:rsidR="0018363B" w:rsidRDefault="0018363B" w:rsidP="004C130D">
      <w:bookmarkStart w:id="0" w:name="_GoBack"/>
      <w:bookmarkEnd w:id="0"/>
    </w:p>
    <w:p w14:paraId="4D5D4364" w14:textId="77777777" w:rsidR="0018363B" w:rsidRDefault="0018363B" w:rsidP="004C130D"/>
    <w:p w14:paraId="19B62A2F" w14:textId="77777777" w:rsidR="000358F1" w:rsidRDefault="000358F1" w:rsidP="00C002A9"/>
    <w:p w14:paraId="5A451FCF" w14:textId="77777777" w:rsidR="00C4576E" w:rsidRDefault="00C4576E" w:rsidP="00C002A9"/>
    <w:p w14:paraId="28E22A6F" w14:textId="77777777" w:rsidR="00C4576E" w:rsidRDefault="00C4576E" w:rsidP="00C002A9"/>
    <w:p w14:paraId="07829CD3" w14:textId="51D3B3C3" w:rsidR="00C4576E" w:rsidRDefault="00C4576E" w:rsidP="00C4576E">
      <w:pPr>
        <w:jc w:val="center"/>
      </w:pPr>
      <w:r>
        <w:t xml:space="preserve">The Undue Burden Standard in Abortion </w:t>
      </w:r>
      <w:r w:rsidR="00D44196">
        <w:t>Law</w:t>
      </w:r>
    </w:p>
    <w:p w14:paraId="016A9385" w14:textId="7FE0A94B" w:rsidR="00C4576E" w:rsidRDefault="00C4576E" w:rsidP="00C4576E">
      <w:pPr>
        <w:jc w:val="center"/>
      </w:pPr>
      <w:r>
        <w:t xml:space="preserve">Mara Waligurski </w:t>
      </w:r>
    </w:p>
    <w:p w14:paraId="450C31D6" w14:textId="659A1951" w:rsidR="00C4576E" w:rsidRDefault="00C4576E" w:rsidP="00C4576E">
      <w:pPr>
        <w:jc w:val="center"/>
      </w:pPr>
      <w:r>
        <w:t>POL 497</w:t>
      </w:r>
    </w:p>
    <w:p w14:paraId="68CB982E" w14:textId="63CA14E3" w:rsidR="00C4576E" w:rsidRDefault="00C4576E" w:rsidP="00C4576E">
      <w:pPr>
        <w:jc w:val="center"/>
      </w:pPr>
      <w:r>
        <w:t>Dr. Allison Rank</w:t>
      </w:r>
    </w:p>
    <w:p w14:paraId="38C6FC7B" w14:textId="77777777" w:rsidR="00C4576E" w:rsidRDefault="00C4576E" w:rsidP="00C002A9"/>
    <w:p w14:paraId="44D0CC81" w14:textId="77777777" w:rsidR="00C4576E" w:rsidRDefault="00C4576E" w:rsidP="00C002A9"/>
    <w:p w14:paraId="19425831" w14:textId="77777777" w:rsidR="00C4576E" w:rsidRDefault="00C4576E" w:rsidP="00C002A9"/>
    <w:p w14:paraId="213E15C9" w14:textId="77777777" w:rsidR="00C4576E" w:rsidRDefault="00C4576E" w:rsidP="00C002A9"/>
    <w:p w14:paraId="65D68C85" w14:textId="77777777" w:rsidR="00C4576E" w:rsidRDefault="00C4576E" w:rsidP="00C002A9"/>
    <w:p w14:paraId="72D9B59C" w14:textId="77777777" w:rsidR="00C4576E" w:rsidRDefault="00C4576E" w:rsidP="00C002A9"/>
    <w:p w14:paraId="25192612" w14:textId="77777777" w:rsidR="00C4576E" w:rsidRDefault="00C4576E" w:rsidP="00C002A9"/>
    <w:p w14:paraId="50D658E1" w14:textId="77777777" w:rsidR="00C4576E" w:rsidRDefault="00C4576E" w:rsidP="00C002A9"/>
    <w:p w14:paraId="4A1C8F7F" w14:textId="77777777" w:rsidR="00C4576E" w:rsidRDefault="00C4576E" w:rsidP="00C002A9"/>
    <w:p w14:paraId="44B9DA39" w14:textId="77777777" w:rsidR="00C4576E" w:rsidRDefault="00C4576E" w:rsidP="00C002A9"/>
    <w:p w14:paraId="28F58371" w14:textId="77777777" w:rsidR="00C4576E" w:rsidRDefault="00C4576E" w:rsidP="00C002A9"/>
    <w:p w14:paraId="6DC04B82" w14:textId="77777777" w:rsidR="00C4576E" w:rsidRDefault="00C4576E" w:rsidP="00C002A9"/>
    <w:p w14:paraId="051DA2AE" w14:textId="77777777" w:rsidR="00C4576E" w:rsidRDefault="00C4576E" w:rsidP="00C002A9"/>
    <w:p w14:paraId="5CF6A8C7" w14:textId="77777777" w:rsidR="00C4576E" w:rsidRDefault="00C4576E" w:rsidP="00C002A9"/>
    <w:p w14:paraId="7DB5C3A4" w14:textId="77777777" w:rsidR="00C4576E" w:rsidRDefault="00C4576E" w:rsidP="00C002A9"/>
    <w:p w14:paraId="411F5341" w14:textId="77777777" w:rsidR="00C4576E" w:rsidRDefault="00C4576E" w:rsidP="00C002A9"/>
    <w:p w14:paraId="69C9B502" w14:textId="77777777" w:rsidR="00C4576E" w:rsidRDefault="00C4576E" w:rsidP="00C002A9"/>
    <w:p w14:paraId="7A320A1B" w14:textId="77777777" w:rsidR="00C4576E" w:rsidRDefault="00C4576E" w:rsidP="00C002A9"/>
    <w:p w14:paraId="6CBA9BBA" w14:textId="77777777" w:rsidR="00C4576E" w:rsidRDefault="00C4576E" w:rsidP="00C002A9"/>
    <w:p w14:paraId="4DF51A64" w14:textId="77777777" w:rsidR="00C4576E" w:rsidRDefault="00C4576E" w:rsidP="00C002A9"/>
    <w:p w14:paraId="4F0256DA" w14:textId="77777777" w:rsidR="00C4576E" w:rsidRDefault="00C4576E" w:rsidP="00C002A9"/>
    <w:p w14:paraId="27CAD1F2" w14:textId="77777777" w:rsidR="00C4576E" w:rsidRDefault="00C4576E" w:rsidP="00C002A9"/>
    <w:p w14:paraId="2AE50835" w14:textId="77777777" w:rsidR="00C4576E" w:rsidRDefault="00C4576E" w:rsidP="00C002A9"/>
    <w:p w14:paraId="2F78A42F" w14:textId="77777777" w:rsidR="00C4576E" w:rsidRDefault="00C4576E" w:rsidP="00C002A9"/>
    <w:p w14:paraId="423F6B20" w14:textId="77777777" w:rsidR="00C4576E" w:rsidRDefault="00C4576E" w:rsidP="00C002A9"/>
    <w:p w14:paraId="15FD927A" w14:textId="77777777" w:rsidR="00C4576E" w:rsidRDefault="00C4576E" w:rsidP="00C002A9"/>
    <w:p w14:paraId="3BE922B8" w14:textId="77777777" w:rsidR="00C4576E" w:rsidRDefault="00C4576E" w:rsidP="00C002A9"/>
    <w:p w14:paraId="79E5C2DC" w14:textId="77777777" w:rsidR="00C4576E" w:rsidRDefault="00C4576E" w:rsidP="00C002A9"/>
    <w:p w14:paraId="7E715FD7" w14:textId="77777777" w:rsidR="00C4576E" w:rsidRDefault="00C4576E" w:rsidP="00C002A9"/>
    <w:p w14:paraId="5E76A6ED" w14:textId="77777777" w:rsidR="00C4576E" w:rsidRDefault="00C4576E" w:rsidP="00C002A9"/>
    <w:p w14:paraId="08EEBAA0" w14:textId="77777777" w:rsidR="00C4576E" w:rsidRDefault="00C4576E" w:rsidP="00C002A9"/>
    <w:p w14:paraId="497A4E83" w14:textId="77777777" w:rsidR="00C4576E" w:rsidRDefault="00C4576E" w:rsidP="00C002A9"/>
    <w:p w14:paraId="7422CEE1" w14:textId="77777777" w:rsidR="00C4576E" w:rsidRDefault="00C4576E" w:rsidP="00C002A9"/>
    <w:p w14:paraId="76677F07" w14:textId="77777777" w:rsidR="00C4576E" w:rsidRDefault="00C4576E" w:rsidP="00C002A9"/>
    <w:p w14:paraId="7B8121F5" w14:textId="77777777" w:rsidR="00C4576E" w:rsidRDefault="00C4576E" w:rsidP="00C002A9"/>
    <w:p w14:paraId="24009BEE" w14:textId="77777777" w:rsidR="00C4576E" w:rsidRDefault="00C4576E" w:rsidP="00C002A9"/>
    <w:p w14:paraId="466AD0E7" w14:textId="77777777" w:rsidR="00C4576E" w:rsidRDefault="00C4576E" w:rsidP="00C002A9"/>
    <w:p w14:paraId="0ADD06C9" w14:textId="77777777" w:rsidR="00C4576E" w:rsidRDefault="00C4576E" w:rsidP="00C002A9"/>
    <w:p w14:paraId="0C93DFC2" w14:textId="3B1D8567" w:rsidR="00C4576E" w:rsidRPr="005C758D" w:rsidRDefault="005C758D" w:rsidP="00C002A9">
      <w:pPr>
        <w:rPr>
          <w:b/>
        </w:rPr>
      </w:pPr>
      <w:r w:rsidRPr="005C758D">
        <w:rPr>
          <w:b/>
        </w:rPr>
        <w:t xml:space="preserve">Introduction: </w:t>
      </w:r>
    </w:p>
    <w:p w14:paraId="1FFBC249" w14:textId="77777777" w:rsidR="00C4576E" w:rsidRDefault="00C4576E" w:rsidP="00C002A9"/>
    <w:p w14:paraId="1C271353" w14:textId="104EE3C3" w:rsidR="00E96AAA" w:rsidRDefault="0018363B" w:rsidP="00AC354A">
      <w:pPr>
        <w:spacing w:line="480" w:lineRule="auto"/>
        <w:ind w:firstLine="720"/>
      </w:pPr>
      <w:r>
        <w:t>The climate of abortion rights</w:t>
      </w:r>
      <w:r w:rsidR="00CD44D7">
        <w:t xml:space="preserve"> in the United States</w:t>
      </w:r>
      <w:r>
        <w:t xml:space="preserve"> ha</w:t>
      </w:r>
      <w:r w:rsidR="0053135A">
        <w:t>s markedly changed since 1973</w:t>
      </w:r>
      <w:r w:rsidR="00CD44D7">
        <w:t xml:space="preserve">. </w:t>
      </w:r>
      <w:r w:rsidR="0002138B">
        <w:t xml:space="preserve">Since its initial ruling in </w:t>
      </w:r>
      <w:r w:rsidR="0002138B">
        <w:rPr>
          <w:u w:val="single"/>
        </w:rPr>
        <w:t xml:space="preserve">Roe v. Wade </w:t>
      </w:r>
      <w:r w:rsidR="0002138B">
        <w:t xml:space="preserve">declaring the right to privacy under the fourteenth amendment to be “broad enough to encompass a woman’s decision whether or </w:t>
      </w:r>
      <w:r w:rsidR="0053135A">
        <w:t xml:space="preserve">not to terminate her pregnancy”, the </w:t>
      </w:r>
      <w:r w:rsidR="004B1F2D">
        <w:t xml:space="preserve">Court’s view </w:t>
      </w:r>
      <w:r w:rsidR="0053135A">
        <w:t xml:space="preserve">on </w:t>
      </w:r>
      <w:r w:rsidR="00C22CB1">
        <w:t>that ‘right’</w:t>
      </w:r>
      <w:r w:rsidR="004B1F2D">
        <w:t xml:space="preserve"> has evolved</w:t>
      </w:r>
      <w:r w:rsidR="00C22CB1">
        <w:t xml:space="preserve">, </w:t>
      </w:r>
      <w:r w:rsidR="00EC73AC">
        <w:t>balancing it with a “legitimate state interest in</w:t>
      </w:r>
      <w:r w:rsidR="00C22CB1">
        <w:t xml:space="preserve"> protecting potential life.”</w:t>
      </w:r>
      <w:r w:rsidR="004B1F2D">
        <w:rPr>
          <w:rStyle w:val="FootnoteReference"/>
        </w:rPr>
        <w:footnoteReference w:id="1"/>
      </w:r>
    </w:p>
    <w:p w14:paraId="17C920C2" w14:textId="2C5F43AD" w:rsidR="00D44ACB" w:rsidRDefault="000F46F2" w:rsidP="000F46F2">
      <w:pPr>
        <w:spacing w:line="480" w:lineRule="auto"/>
        <w:ind w:firstLine="720"/>
      </w:pPr>
      <w:r>
        <w:t xml:space="preserve">In 1992, the Supreme Court handed down </w:t>
      </w:r>
      <w:r>
        <w:rPr>
          <w:u w:val="single"/>
        </w:rPr>
        <w:t>Planned Parenthood of Western Pennsylvania v. Casey,</w:t>
      </w:r>
      <w:r>
        <w:t xml:space="preserve"> which while reaffirming the heart of </w:t>
      </w:r>
      <w:r w:rsidRPr="000F46F2">
        <w:rPr>
          <w:i/>
        </w:rPr>
        <w:t>Roe</w:t>
      </w:r>
      <w:r>
        <w:t xml:space="preserve">, declared that abortion should not be considered a qualified and fundamental right and established a lower constitutional standard for review of abortion regulations. In response to a perceived weakness in the constitutional right to abortion; </w:t>
      </w:r>
      <w:r w:rsidR="00764F34">
        <w:t>legislatures</w:t>
      </w:r>
      <w:r w:rsidR="00BE7F9D">
        <w:t xml:space="preserve"> across the country</w:t>
      </w:r>
      <w:r w:rsidR="00764F34">
        <w:t xml:space="preserve">, particularly in </w:t>
      </w:r>
      <w:r w:rsidR="000D55C8">
        <w:t>the past decade,</w:t>
      </w:r>
      <w:r w:rsidR="00764F34">
        <w:t xml:space="preserve"> have enacted a creative array of </w:t>
      </w:r>
      <w:r w:rsidR="00BE7F9D">
        <w:t>restrictions and regulations on abortion access</w:t>
      </w:r>
      <w:r w:rsidR="00FA2132">
        <w:t>.</w:t>
      </w:r>
      <w:r w:rsidR="00C577EA">
        <w:t xml:space="preserve"> In just the three</w:t>
      </w:r>
      <w:r w:rsidR="002E576B">
        <w:t>-</w:t>
      </w:r>
      <w:r w:rsidR="00C577EA">
        <w:t>year period between 2011 and 2013,</w:t>
      </w:r>
      <w:r w:rsidR="00FC16EF">
        <w:t xml:space="preserve"> state legislatures passed</w:t>
      </w:r>
      <w:r w:rsidR="00C577EA">
        <w:t xml:space="preserve"> 205 </w:t>
      </w:r>
      <w:r w:rsidR="00FC16EF">
        <w:t>various restrictions</w:t>
      </w:r>
      <w:r w:rsidR="000D55C8">
        <w:t>.</w:t>
      </w:r>
      <w:r w:rsidR="000D55C8">
        <w:rPr>
          <w:rStyle w:val="FootnoteReference"/>
        </w:rPr>
        <w:footnoteReference w:id="2"/>
      </w:r>
      <w:r w:rsidR="000D55C8">
        <w:t xml:space="preserve"> </w:t>
      </w:r>
      <w:r w:rsidR="00351153">
        <w:t xml:space="preserve">As of November of 2015, twenty-eight states </w:t>
      </w:r>
      <w:r w:rsidR="00F1261C">
        <w:t>have waiting periods of at least 24 hours between a woman’s consultation with a doctor and her abortion.</w:t>
      </w:r>
      <w:r w:rsidR="00E44723">
        <w:rPr>
          <w:rStyle w:val="FootnoteReference"/>
        </w:rPr>
        <w:footnoteReference w:id="3"/>
      </w:r>
      <w:r w:rsidR="00F1261C">
        <w:t xml:space="preserve"> Seventeen states require state-mandated ‘counseling’ by </w:t>
      </w:r>
      <w:r w:rsidR="00FC16EF">
        <w:t xml:space="preserve">doctors, including </w:t>
      </w:r>
      <w:r w:rsidR="00E44723">
        <w:t xml:space="preserve">statements </w:t>
      </w:r>
      <w:r w:rsidR="001677AC">
        <w:t>about</w:t>
      </w:r>
      <w:r w:rsidR="00E44723">
        <w:t xml:space="preserve"> fetal pain and</w:t>
      </w:r>
      <w:r w:rsidR="001677AC">
        <w:t xml:space="preserve"> the unsubstantiated link </w:t>
      </w:r>
      <w:r w:rsidR="00FC16EF">
        <w:t xml:space="preserve">between abortion and </w:t>
      </w:r>
      <w:r w:rsidR="001677AC">
        <w:t xml:space="preserve">suicide or </w:t>
      </w:r>
      <w:r w:rsidR="001677AC">
        <w:lastRenderedPageBreak/>
        <w:t>breast cancer</w:t>
      </w:r>
      <w:r w:rsidR="00BA482A">
        <w:t>.</w:t>
      </w:r>
      <w:r w:rsidR="001677AC">
        <w:rPr>
          <w:rStyle w:val="FootnoteReference"/>
        </w:rPr>
        <w:footnoteReference w:id="4"/>
      </w:r>
      <w:r w:rsidR="00BA482A">
        <w:t xml:space="preserve"> </w:t>
      </w:r>
      <w:r w:rsidR="0033523F">
        <w:t xml:space="preserve">Twenty-five states have parental consent laws and another thirteen have </w:t>
      </w:r>
      <w:r w:rsidR="00FA2132">
        <w:t xml:space="preserve">parental </w:t>
      </w:r>
      <w:r w:rsidR="0033523F">
        <w:t>notification laws.</w:t>
      </w:r>
      <w:r w:rsidR="0033523F">
        <w:rPr>
          <w:rStyle w:val="FootnoteReference"/>
        </w:rPr>
        <w:footnoteReference w:id="5"/>
      </w:r>
      <w:r w:rsidR="005B2BC3">
        <w:t xml:space="preserve"> </w:t>
      </w:r>
      <w:r w:rsidR="00F712BD">
        <w:t>Additionally, eleven states ban private insurance companies from covering abortion in their plans</w:t>
      </w:r>
      <w:r w:rsidR="00256300">
        <w:t xml:space="preserve"> and thirty-two ban state Medicaid funding</w:t>
      </w:r>
      <w:r w:rsidR="00F712BD">
        <w:t>.</w:t>
      </w:r>
      <w:r w:rsidR="002E358F">
        <w:rPr>
          <w:rStyle w:val="FootnoteReference"/>
        </w:rPr>
        <w:footnoteReference w:id="6"/>
      </w:r>
      <w:r w:rsidR="00F712BD">
        <w:t xml:space="preserve"> </w:t>
      </w:r>
      <w:r w:rsidR="005B2BC3">
        <w:t xml:space="preserve">In many states, these </w:t>
      </w:r>
      <w:r w:rsidR="00B15680">
        <w:t xml:space="preserve">restrictions compound and create a complex legal and medical system for women to navigate. </w:t>
      </w:r>
      <w:r>
        <w:t>On top of legislating the behavior of the woman and her doctor, twenty two states have laws regulating abortion clinics at the level of ambulatory surgical centers. Another thirteen states require abortion doctors to have admitting privileges or some type of admitting agreement with a nearby hospital.</w:t>
      </w:r>
      <w:r>
        <w:rPr>
          <w:rStyle w:val="FootnoteReference"/>
        </w:rPr>
        <w:footnoteReference w:id="7"/>
      </w:r>
    </w:p>
    <w:p w14:paraId="2F949C24" w14:textId="4C210B1A" w:rsidR="00E96AAA" w:rsidRPr="00E96AAA" w:rsidRDefault="00F3571B" w:rsidP="00AC354A">
      <w:pPr>
        <w:spacing w:line="480" w:lineRule="auto"/>
        <w:ind w:firstLine="720"/>
        <w:rPr>
          <w:i/>
        </w:rPr>
      </w:pPr>
      <w:r>
        <w:t>The shockingly efficient onslaught of legislative ac</w:t>
      </w:r>
      <w:r w:rsidR="00DF0EB6">
        <w:t xml:space="preserve">tion regarding abortion in the past several years </w:t>
      </w:r>
      <w:r w:rsidR="00FA2132">
        <w:t xml:space="preserve">and </w:t>
      </w:r>
      <w:r w:rsidR="00256300">
        <w:t xml:space="preserve">the resulting </w:t>
      </w:r>
      <w:r w:rsidR="00FA2132">
        <w:t xml:space="preserve">legal </w:t>
      </w:r>
      <w:r w:rsidR="00256300">
        <w:t>patchwork</w:t>
      </w:r>
      <w:r w:rsidR="00FA2132">
        <w:t xml:space="preserve"> across the country</w:t>
      </w:r>
      <w:r w:rsidR="00256300">
        <w:t xml:space="preserve"> have created </w:t>
      </w:r>
      <w:r w:rsidR="00FA2132">
        <w:t>the important judicial duty</w:t>
      </w:r>
      <w:r w:rsidR="00204D37">
        <w:t xml:space="preserve"> of correctly reviewing these regulations. </w:t>
      </w:r>
      <w:r w:rsidR="00E96AAA">
        <w:t xml:space="preserve">The current standard for examining if abortion regulations are unconstitutional is now the ‘undue burden’ test, </w:t>
      </w:r>
      <w:r w:rsidR="000F46F2">
        <w:t xml:space="preserve">as </w:t>
      </w:r>
      <w:r w:rsidR="00E96AAA">
        <w:t>establi</w:t>
      </w:r>
      <w:r w:rsidR="000F46F2">
        <w:t xml:space="preserve">shed by the Supreme Court in </w:t>
      </w:r>
      <w:r w:rsidR="000F46F2">
        <w:rPr>
          <w:i/>
        </w:rPr>
        <w:t>Casey</w:t>
      </w:r>
      <w:r w:rsidR="001A1FAB">
        <w:rPr>
          <w:i/>
        </w:rPr>
        <w:t>.</w:t>
      </w:r>
      <w:r w:rsidR="00C22CB1">
        <w:rPr>
          <w:rStyle w:val="FootnoteReference"/>
          <w:i/>
        </w:rPr>
        <w:footnoteReference w:id="8"/>
      </w:r>
    </w:p>
    <w:p w14:paraId="47BF0C45" w14:textId="3161A28C" w:rsidR="00B425BB" w:rsidRDefault="00B425BB" w:rsidP="00AC354A">
      <w:pPr>
        <w:spacing w:line="480" w:lineRule="auto"/>
      </w:pPr>
      <w:r>
        <w:tab/>
        <w:t xml:space="preserve">Despite being a lower </w:t>
      </w:r>
      <w:r w:rsidR="0085226C">
        <w:t xml:space="preserve">constitutional </w:t>
      </w:r>
      <w:r>
        <w:t>standard</w:t>
      </w:r>
      <w:r w:rsidR="00132CD5">
        <w:t xml:space="preserve"> than first established in </w:t>
      </w:r>
      <w:r w:rsidR="00132CD5">
        <w:rPr>
          <w:i/>
        </w:rPr>
        <w:t>Roe</w:t>
      </w:r>
      <w:r>
        <w:t>, the Undue Burden Test is a viable option for protecting abortion rights, as it was</w:t>
      </w:r>
      <w:r w:rsidR="00132CD5">
        <w:t xml:space="preserve"> intended</w:t>
      </w:r>
      <w:r>
        <w:t xml:space="preserve"> to be by the </w:t>
      </w:r>
      <w:r>
        <w:rPr>
          <w:i/>
        </w:rPr>
        <w:t xml:space="preserve">Casey </w:t>
      </w:r>
      <w:r>
        <w:t>Court. The problem lies within the int</w:t>
      </w:r>
      <w:r w:rsidR="006314D3">
        <w:t>erpretation of an undue burden</w:t>
      </w:r>
      <w:r>
        <w:t xml:space="preserve"> in subsequent cases. </w:t>
      </w:r>
      <w:r w:rsidR="0078396C">
        <w:t>The lives of the judges presiding over abortion litigation and the lives</w:t>
      </w:r>
      <w:r w:rsidR="00573CB6">
        <w:t xml:space="preserve"> of women seeking abortion are often markedly different; separated by gender, race, socioeconomic status, and geography.</w:t>
      </w:r>
      <w:r w:rsidR="0078396C">
        <w:t xml:space="preserve"> </w:t>
      </w:r>
      <w:r>
        <w:t xml:space="preserve">I argue that the lower courts since </w:t>
      </w:r>
      <w:r>
        <w:rPr>
          <w:i/>
        </w:rPr>
        <w:t xml:space="preserve">Casey </w:t>
      </w:r>
      <w:r>
        <w:t xml:space="preserve">have </w:t>
      </w:r>
      <w:r>
        <w:lastRenderedPageBreak/>
        <w:t>applied their own pe</w:t>
      </w:r>
      <w:r w:rsidR="00956DB6">
        <w:t xml:space="preserve">rsonal experiences and beliefs </w:t>
      </w:r>
      <w:r>
        <w:t>to the law and theref</w:t>
      </w:r>
      <w:r w:rsidR="00E772F4">
        <w:t xml:space="preserve">ore reached incorrect rulings regarding the </w:t>
      </w:r>
      <w:r w:rsidR="00F34790">
        <w:t xml:space="preserve">undue burden imposed by litigated </w:t>
      </w:r>
      <w:r w:rsidR="00573CB6">
        <w:t xml:space="preserve">regulations. </w:t>
      </w:r>
    </w:p>
    <w:p w14:paraId="160AB93D" w14:textId="77777777" w:rsidR="005C758D" w:rsidRDefault="005C758D" w:rsidP="00AC354A">
      <w:pPr>
        <w:spacing w:line="480" w:lineRule="auto"/>
        <w:rPr>
          <w:b/>
        </w:rPr>
      </w:pPr>
    </w:p>
    <w:p w14:paraId="156B09A1" w14:textId="76939010" w:rsidR="00012A10" w:rsidRPr="005C758D" w:rsidRDefault="005C758D" w:rsidP="00AC354A">
      <w:pPr>
        <w:spacing w:line="480" w:lineRule="auto"/>
        <w:rPr>
          <w:b/>
        </w:rPr>
      </w:pPr>
      <w:r>
        <w:rPr>
          <w:b/>
        </w:rPr>
        <w:t>Overview</w:t>
      </w:r>
    </w:p>
    <w:p w14:paraId="465D29F9" w14:textId="4A6D0127" w:rsidR="00012A10" w:rsidRDefault="00012A10" w:rsidP="00AC354A">
      <w:pPr>
        <w:spacing w:line="480" w:lineRule="auto"/>
      </w:pPr>
      <w:r>
        <w:rPr>
          <w:i/>
        </w:rPr>
        <w:tab/>
      </w:r>
      <w:r>
        <w:t xml:space="preserve">This paper involves the undue burden standard as established in </w:t>
      </w:r>
      <w:r>
        <w:rPr>
          <w:i/>
        </w:rPr>
        <w:t xml:space="preserve">Casey. </w:t>
      </w:r>
      <w:r w:rsidR="00956DB6">
        <w:t>It is not meant to question</w:t>
      </w:r>
      <w:r w:rsidR="00EC73AC">
        <w:t xml:space="preserve"> if the undue burden test is the </w:t>
      </w:r>
      <w:r w:rsidR="00EC73AC" w:rsidRPr="00EC73AC">
        <w:rPr>
          <w:i/>
        </w:rPr>
        <w:t>correct</w:t>
      </w:r>
      <w:r w:rsidR="00EC73AC">
        <w:t xml:space="preserve"> standard in abortion jurisprudence; but </w:t>
      </w:r>
      <w:r w:rsidR="00266524">
        <w:t>is instead an examination of how the standard available</w:t>
      </w:r>
      <w:r w:rsidR="00EC73AC">
        <w:t xml:space="preserve"> has been interpreted</w:t>
      </w:r>
      <w:r w:rsidR="000F46F2">
        <w:t>.</w:t>
      </w:r>
      <w:r w:rsidR="00EC73AC">
        <w:t xml:space="preserve"> </w:t>
      </w:r>
    </w:p>
    <w:p w14:paraId="5D3FF704" w14:textId="13A9DF55" w:rsidR="00263B97" w:rsidRDefault="004A2548" w:rsidP="00AC354A">
      <w:pPr>
        <w:spacing w:line="480" w:lineRule="auto"/>
      </w:pPr>
      <w:r>
        <w:tab/>
      </w:r>
      <w:r w:rsidR="001007D7">
        <w:t xml:space="preserve">The first section will be an examination of </w:t>
      </w:r>
      <w:r w:rsidR="002D2F07">
        <w:t xml:space="preserve">the conceptualization of </w:t>
      </w:r>
      <w:r w:rsidR="001007D7">
        <w:t>‘undue burden’ and its accompanying constitutional test</w:t>
      </w:r>
      <w:r w:rsidR="00D46B39">
        <w:t>, starting</w:t>
      </w:r>
      <w:r w:rsidR="00E96AAA">
        <w:t xml:space="preserve"> with Justice Sandra Day O’Connor’s conceptualization of undue burden </w:t>
      </w:r>
      <w:r w:rsidR="00D46B39">
        <w:t xml:space="preserve">in her dissent of </w:t>
      </w:r>
      <w:r w:rsidR="00D46B39" w:rsidRPr="00D46B39">
        <w:rPr>
          <w:i/>
        </w:rPr>
        <w:t>Akron v. Akron</w:t>
      </w:r>
      <w:r w:rsidR="00D46B39">
        <w:rPr>
          <w:i/>
        </w:rPr>
        <w:t xml:space="preserve"> </w:t>
      </w:r>
      <w:r w:rsidR="00D46B39">
        <w:t xml:space="preserve">and its final form in the joint opinion of </w:t>
      </w:r>
      <w:r w:rsidR="00D46B39">
        <w:rPr>
          <w:i/>
        </w:rPr>
        <w:t xml:space="preserve">Casey. </w:t>
      </w:r>
      <w:r w:rsidR="002D2F07">
        <w:t xml:space="preserve">After this, I will examine how courts since </w:t>
      </w:r>
      <w:r w:rsidR="002D2F07">
        <w:rPr>
          <w:i/>
        </w:rPr>
        <w:t xml:space="preserve">Casey </w:t>
      </w:r>
      <w:r w:rsidR="002D2F07">
        <w:t xml:space="preserve">have interpreted its meaning of undue burden. </w:t>
      </w:r>
      <w:r w:rsidR="00D46B39">
        <w:t>Because of the scope and diversity of this cent</w:t>
      </w:r>
      <w:r w:rsidR="00D15DFA">
        <w:t xml:space="preserve">ury’s abortion regulations, I have selected two cases to study more in depth. The first section will examine </w:t>
      </w:r>
      <w:r w:rsidR="00D15DFA">
        <w:rPr>
          <w:i/>
        </w:rPr>
        <w:t xml:space="preserve">Whole Woman’s Health v. Cole, </w:t>
      </w:r>
      <w:r w:rsidR="00D15DFA">
        <w:t>a 5</w:t>
      </w:r>
      <w:r w:rsidR="00D15DFA" w:rsidRPr="00D15DFA">
        <w:rPr>
          <w:vertAlign w:val="superscript"/>
        </w:rPr>
        <w:t>th</w:t>
      </w:r>
      <w:r w:rsidR="00D15DFA">
        <w:t xml:space="preserve"> circuit decision allowing Texas to implement hospital admitting privilege provision and Ambulatory Surgical Center (ASC) requirements. </w:t>
      </w:r>
      <w:r w:rsidR="004709E5">
        <w:t xml:space="preserve">The second section will examine </w:t>
      </w:r>
      <w:r w:rsidR="004709E5">
        <w:rPr>
          <w:i/>
        </w:rPr>
        <w:t xml:space="preserve">Hope Clinic for Women, Ltd. v. Flores, </w:t>
      </w:r>
      <w:r w:rsidR="004709E5">
        <w:t xml:space="preserve">a decision from the Illinois State Supreme Court allowing for the activation of the state’s 1995 Parental Notification Act. </w:t>
      </w:r>
      <w:r w:rsidR="00D46B39">
        <w:t>Each section will contain an examination of the law,</w:t>
      </w:r>
      <w:r w:rsidR="00112C75">
        <w:t xml:space="preserve"> an explanation of</w:t>
      </w:r>
      <w:r w:rsidR="00D46B39">
        <w:t xml:space="preserve"> how the lower courts have interpreted </w:t>
      </w:r>
      <w:r w:rsidR="00112C75">
        <w:t xml:space="preserve">and ruled on challenges to those laws, and an analysis of the correctness of such rulings in face of </w:t>
      </w:r>
      <w:r w:rsidR="001267F0">
        <w:t xml:space="preserve">the realities of women seeking abortions. </w:t>
      </w:r>
      <w:r w:rsidR="00D30D3B">
        <w:t xml:space="preserve"> </w:t>
      </w:r>
    </w:p>
    <w:p w14:paraId="0ABDE8F1" w14:textId="5329DC7B" w:rsidR="004F36BC" w:rsidRPr="00D46B39" w:rsidRDefault="004F36BC" w:rsidP="00AC354A">
      <w:pPr>
        <w:spacing w:line="480" w:lineRule="auto"/>
      </w:pPr>
      <w:r>
        <w:tab/>
      </w:r>
      <w:r w:rsidR="00AB5BDF">
        <w:t xml:space="preserve"> </w:t>
      </w:r>
    </w:p>
    <w:p w14:paraId="07468245" w14:textId="0928A906" w:rsidR="00B425BB" w:rsidRPr="001E2B4E" w:rsidRDefault="00EC73AC" w:rsidP="00AC354A">
      <w:pPr>
        <w:spacing w:line="480" w:lineRule="auto"/>
        <w:rPr>
          <w:i/>
        </w:rPr>
      </w:pPr>
      <w:r w:rsidRPr="00D46B39">
        <w:rPr>
          <w:i/>
        </w:rPr>
        <w:tab/>
      </w:r>
    </w:p>
    <w:p w14:paraId="347123B7" w14:textId="7373F30D" w:rsidR="005C758D" w:rsidRPr="005C758D" w:rsidRDefault="005C758D" w:rsidP="005C758D">
      <w:pPr>
        <w:spacing w:line="480" w:lineRule="auto"/>
        <w:rPr>
          <w:b/>
        </w:rPr>
      </w:pPr>
      <w:r>
        <w:rPr>
          <w:b/>
        </w:rPr>
        <w:lastRenderedPageBreak/>
        <w:t>From Roe to Casey</w:t>
      </w:r>
    </w:p>
    <w:p w14:paraId="539490B2" w14:textId="35ED9A46" w:rsidR="00685B8B" w:rsidRPr="00982B2B" w:rsidRDefault="00C00CC5" w:rsidP="00982B2B">
      <w:pPr>
        <w:spacing w:line="480" w:lineRule="auto"/>
        <w:ind w:firstLine="720"/>
      </w:pPr>
      <w:r>
        <w:t xml:space="preserve">1973 marked </w:t>
      </w:r>
      <w:r w:rsidR="008E5755">
        <w:t xml:space="preserve">the beginning of the modern American era in abortion jurisprudence. The release of </w:t>
      </w:r>
      <w:r w:rsidR="008E5755" w:rsidRPr="008E5755">
        <w:rPr>
          <w:u w:val="single"/>
        </w:rPr>
        <w:t>Roe v. Wade</w:t>
      </w:r>
      <w:r w:rsidR="008E5755">
        <w:t xml:space="preserve"> was landmark, bringing sweeping changes to state laws through out the country. </w:t>
      </w:r>
      <w:r w:rsidR="008E5755" w:rsidRPr="008E5755">
        <w:t>In</w:t>
      </w:r>
      <w:r w:rsidR="008E5755">
        <w:t xml:space="preserve"> a 7-2 majority, the Supreme Court ruled that a woman had the constitutionally protected right to seek an abortion and that state abortion bans violated this under her right to privacy established by the due process clause of the Fourteenth amendment.</w:t>
      </w:r>
      <w:r w:rsidR="008E5755">
        <w:rPr>
          <w:rStyle w:val="FootnoteReference"/>
        </w:rPr>
        <w:footnoteReference w:id="9"/>
      </w:r>
      <w:r w:rsidR="008E5755">
        <w:t xml:space="preserve"> </w:t>
      </w:r>
      <w:r w:rsidR="00A80F8E">
        <w:t xml:space="preserve">The Court acknowledged that the state had a legitimate interest in both the health of the woman and potential human life, but set up a trimester framework to police that balance. </w:t>
      </w:r>
      <w:r w:rsidR="00536C88">
        <w:t xml:space="preserve">It held that the decision belonged to only the woman and her doctor during the first trimester; but in the second, the state had an interest in promoting the health of the woman and could enact regulations pertaining to that end. In the third trimester, the Court allowed that states could express their interest in potential life by regulating or prohibiting abortion.  </w:t>
      </w:r>
      <w:r w:rsidR="00536C88" w:rsidRPr="00536C88">
        <w:rPr>
          <w:i/>
        </w:rPr>
        <w:t>Roe</w:t>
      </w:r>
      <w:r w:rsidR="00536C88">
        <w:rPr>
          <w:i/>
        </w:rPr>
        <w:t xml:space="preserve"> </w:t>
      </w:r>
      <w:r w:rsidR="00536C88">
        <w:t xml:space="preserve">also </w:t>
      </w:r>
      <w:r w:rsidR="0057765E">
        <w:t xml:space="preserve">applied the strict scrutiny standard to challenges </w:t>
      </w:r>
      <w:r w:rsidR="00982B2B">
        <w:t>of abortion restrictions. S</w:t>
      </w:r>
      <w:r w:rsidR="0057765E">
        <w:t xml:space="preserve">trict scrutiny is the highest level of constitutional review, </w:t>
      </w:r>
      <w:r w:rsidR="00982B2B">
        <w:t xml:space="preserve">applying </w:t>
      </w:r>
      <w:r w:rsidR="0057765E">
        <w:t>to those rights that are considered fundamental</w:t>
      </w:r>
      <w:r w:rsidR="00982B2B">
        <w:t>; and placing the burden of proof on the government to prove its law is tailored to fit a compelling state interest.</w:t>
      </w:r>
      <w:r w:rsidR="00982B2B">
        <w:rPr>
          <w:rStyle w:val="FootnoteReference"/>
        </w:rPr>
        <w:footnoteReference w:id="10"/>
      </w:r>
      <w:r w:rsidR="00982B2B">
        <w:t xml:space="preserve"> </w:t>
      </w:r>
    </w:p>
    <w:p w14:paraId="59291025" w14:textId="0B974E74" w:rsidR="009C51B6" w:rsidRDefault="00685B8B" w:rsidP="00AC354A">
      <w:pPr>
        <w:spacing w:line="480" w:lineRule="auto"/>
        <w:ind w:firstLine="720"/>
      </w:pPr>
      <w:r>
        <w:t xml:space="preserve">The undue burden standard came to its current form in </w:t>
      </w:r>
      <w:r>
        <w:rPr>
          <w:i/>
        </w:rPr>
        <w:t xml:space="preserve">Planned Parenthood v. Casey, </w:t>
      </w:r>
      <w:r>
        <w:t>a case meant to challenge several regulations imposed by the Pennsylvania state legislature</w:t>
      </w:r>
      <w:r w:rsidR="00376187">
        <w:t xml:space="preserve">. The regulations in question were informed consent, spousal notice, parental consent, </w:t>
      </w:r>
      <w:r w:rsidR="004310FA">
        <w:t xml:space="preserve">clinic </w:t>
      </w:r>
      <w:r w:rsidR="00376187">
        <w:t xml:space="preserve">reporting requirements, and the definition of ‘medical emergency’. </w:t>
      </w:r>
      <w:r w:rsidR="00376187">
        <w:rPr>
          <w:rStyle w:val="FootnoteReference"/>
        </w:rPr>
        <w:footnoteReference w:id="11"/>
      </w:r>
      <w:r w:rsidR="00883AD5">
        <w:t xml:space="preserve"> </w:t>
      </w:r>
    </w:p>
    <w:p w14:paraId="499AAFB9" w14:textId="305A9B96" w:rsidR="009C51B6" w:rsidRDefault="00883AD5" w:rsidP="00CC1D48">
      <w:pPr>
        <w:spacing w:line="480" w:lineRule="auto"/>
        <w:ind w:firstLine="720"/>
      </w:pPr>
      <w:r>
        <w:lastRenderedPageBreak/>
        <w:t>The Pennsylvania Abortion Control Act required t</w:t>
      </w:r>
      <w:r w:rsidR="001D02D6">
        <w:t xml:space="preserve">hat a woman seeking an abortion </w:t>
      </w:r>
      <w:r>
        <w:t>hear state</w:t>
      </w:r>
      <w:r w:rsidR="00CC1D48">
        <w:t>-</w:t>
      </w:r>
      <w:r>
        <w:t>determined information and give informed consent 24 hours before her abortion, requiring</w:t>
      </w:r>
      <w:r w:rsidR="001D02D6">
        <w:t xml:space="preserve"> her to make</w:t>
      </w:r>
      <w:r>
        <w:t xml:space="preserve"> two trips. </w:t>
      </w:r>
      <w:r w:rsidR="001D02D6">
        <w:t xml:space="preserve">It required married women to give a signed statement saying that she had informed her husband of the procedure as well as required minor girls to obtain the consent of at least one parent or obtain a judicial bypass. </w:t>
      </w:r>
      <w:r w:rsidR="00742765">
        <w:t>After a District court ruled all the requirements invalid and the Third Circuit Court of Appeals reversed part of that decision, the Supreme Court took up the case</w:t>
      </w:r>
      <w:r w:rsidR="00AB5BDF">
        <w:t>.</w:t>
      </w:r>
      <w:r w:rsidR="00742765">
        <w:rPr>
          <w:rStyle w:val="FootnoteReference"/>
        </w:rPr>
        <w:footnoteReference w:id="12"/>
      </w:r>
    </w:p>
    <w:p w14:paraId="3FAA2CC8" w14:textId="3A090423" w:rsidR="00441C86" w:rsidRDefault="00FD7B9E" w:rsidP="004310FA">
      <w:pPr>
        <w:spacing w:line="480" w:lineRule="auto"/>
        <w:ind w:firstLine="720"/>
      </w:pPr>
      <w:r>
        <w:t>The joint opinion,</w:t>
      </w:r>
      <w:r w:rsidR="0002138B">
        <w:t xml:space="preserve"> written by Justi</w:t>
      </w:r>
      <w:r>
        <w:t>ce O’Connor, Kennedy and Souter,</w:t>
      </w:r>
      <w:r w:rsidR="0002138B">
        <w:t xml:space="preserve"> first reaffirms the promise of </w:t>
      </w:r>
      <w:r w:rsidR="0002138B" w:rsidRPr="00CC1D48">
        <w:rPr>
          <w:i/>
        </w:rPr>
        <w:t>Roe</w:t>
      </w:r>
      <w:r w:rsidR="0002138B">
        <w:t xml:space="preserve"> to protect the right of</w:t>
      </w:r>
      <w:r w:rsidR="005A3DE3">
        <w:t xml:space="preserve"> a woma</w:t>
      </w:r>
      <w:r w:rsidR="0002138B">
        <w:t>n to end her pregnancy before the viability of the fetus; as well as the state’s interest in “protecting the health of the woman and the life of the fetus that may become a child</w:t>
      </w:r>
      <w:r w:rsidR="00AB3558">
        <w:t>.</w:t>
      </w:r>
      <w:r w:rsidR="0002138B">
        <w:t xml:space="preserve">” </w:t>
      </w:r>
      <w:r w:rsidR="001A1FAB">
        <w:rPr>
          <w:rStyle w:val="FootnoteReference"/>
        </w:rPr>
        <w:footnoteReference w:id="13"/>
      </w:r>
      <w:r w:rsidR="004310FA">
        <w:t xml:space="preserve"> </w:t>
      </w:r>
      <w:r w:rsidR="00B540AD">
        <w:t xml:space="preserve">By emphasizing the role of the state in promoting childbirth, the Court downgraded the constitutional standard used in reviewing abortion restrictions. It abandoned </w:t>
      </w:r>
      <w:r w:rsidR="00B540AD">
        <w:rPr>
          <w:i/>
        </w:rPr>
        <w:t xml:space="preserve">strict scrutiny, </w:t>
      </w:r>
      <w:r w:rsidR="00B540AD">
        <w:t>wh</w:t>
      </w:r>
      <w:r w:rsidR="00F17F7C">
        <w:t xml:space="preserve">ich had been in place since Roe </w:t>
      </w:r>
      <w:r w:rsidR="007F4110">
        <w:t>by stating that “Roe did not declare an unqualified right to an abortion”</w:t>
      </w:r>
      <w:r w:rsidR="00F53017">
        <w:t xml:space="preserve"> and that states had a legitimate interest in </w:t>
      </w:r>
      <w:r w:rsidR="00542880">
        <w:t xml:space="preserve">protecting the well-being of women and expressing preference for </w:t>
      </w:r>
      <w:r w:rsidR="006D22E6">
        <w:t>childbirth.</w:t>
      </w:r>
      <w:r w:rsidR="004310FA">
        <w:rPr>
          <w:rStyle w:val="FootnoteReference"/>
        </w:rPr>
        <w:footnoteReference w:id="14"/>
      </w:r>
      <w:r w:rsidR="006D22E6">
        <w:t xml:space="preserve"> </w:t>
      </w:r>
      <w:r w:rsidR="003B62FE">
        <w:t>Instead</w:t>
      </w:r>
      <w:r w:rsidR="00F53017">
        <w:t>,</w:t>
      </w:r>
      <w:r w:rsidR="003B62FE">
        <w:t xml:space="preserve"> the justices applied the undue burden </w:t>
      </w:r>
      <w:r w:rsidR="00F53017">
        <w:t xml:space="preserve">standard to regulations, </w:t>
      </w:r>
      <w:r w:rsidR="003B62FE">
        <w:t xml:space="preserve">protecting women from state </w:t>
      </w:r>
      <w:r w:rsidR="00F53017">
        <w:t xml:space="preserve">action </w:t>
      </w:r>
      <w:r w:rsidR="003B62FE">
        <w:t xml:space="preserve">that imposes </w:t>
      </w:r>
      <w:r w:rsidR="002B26EF">
        <w:t>“</w:t>
      </w:r>
      <w:r w:rsidR="003B62FE">
        <w:t>unduly burdensome interference with her freedom to decide whether to terminate her pregnancy.”</w:t>
      </w:r>
      <w:r w:rsidR="003B62FE">
        <w:rPr>
          <w:rStyle w:val="FootnoteReference"/>
        </w:rPr>
        <w:footnoteReference w:id="15"/>
      </w:r>
      <w:r w:rsidR="006D22E6">
        <w:t xml:space="preserve"> Essentially</w:t>
      </w:r>
      <w:r w:rsidR="002B26EF">
        <w:t xml:space="preserve">, the Court declared, that a woman had the right to seek an abortion before the viability of the fetus and states had a right to regulate those procedures if that regulation did not hinder that </w:t>
      </w:r>
      <w:r w:rsidR="002B26EF">
        <w:lastRenderedPageBreak/>
        <w:t xml:space="preserve">freedom of choice </w:t>
      </w:r>
      <w:r w:rsidR="001C4B21">
        <w:t>to a substantial extent.</w:t>
      </w:r>
      <w:r w:rsidR="00AB01B3">
        <w:t xml:space="preserve"> </w:t>
      </w:r>
      <w:r w:rsidR="0003616F">
        <w:t xml:space="preserve">The Undue Burden standard is two-pronged, taking into account both the purpose and effect of a regulation. </w:t>
      </w:r>
      <w:r w:rsidR="005C758D">
        <w:t>If the law has the effect of creating an undue burden, then it is unconstitutional. However, the Court presents the idea that a la</w:t>
      </w:r>
      <w:r w:rsidR="0056386D">
        <w:t>w could also be invalid if its only purpose was to make the process of obtaining an abortion more difficult, not to promote the health and safety of women.</w:t>
      </w:r>
      <w:r w:rsidR="00190818">
        <w:rPr>
          <w:rStyle w:val="FootnoteReference"/>
        </w:rPr>
        <w:footnoteReference w:id="16"/>
      </w:r>
      <w:r w:rsidR="0056386D">
        <w:t xml:space="preserve"> </w:t>
      </w:r>
      <w:r w:rsidR="005C758D">
        <w:t xml:space="preserve">The purpose prong recognizes the importance that legislative intent has on law, particularly in regards to abortion. </w:t>
      </w:r>
    </w:p>
    <w:p w14:paraId="1AFFED80" w14:textId="1F0F85F6" w:rsidR="005554BD" w:rsidRDefault="005409D5" w:rsidP="00AC354A">
      <w:pPr>
        <w:spacing w:line="480" w:lineRule="auto"/>
      </w:pPr>
      <w:r>
        <w:tab/>
        <w:t>The Court used</w:t>
      </w:r>
      <w:r w:rsidR="009A5CD9">
        <w:t xml:space="preserve"> the undue burden test to rule that the spousal notification requirement was unconstitutional, </w:t>
      </w:r>
      <w:r w:rsidR="002472DC">
        <w:tab/>
      </w:r>
      <w:r>
        <w:t>citing the District Court’s comprehensive analysis of domestic</w:t>
      </w:r>
      <w:r w:rsidR="005C1771">
        <w:t xml:space="preserve"> violence in the United States</w:t>
      </w:r>
      <w:r w:rsidR="00832228">
        <w:t>.</w:t>
      </w:r>
      <w:r w:rsidR="005C1771">
        <w:rPr>
          <w:rStyle w:val="FootnoteReference"/>
        </w:rPr>
        <w:footnoteReference w:id="17"/>
      </w:r>
      <w:r w:rsidR="00BA4052">
        <w:t xml:space="preserve"> </w:t>
      </w:r>
      <w:r w:rsidR="005554BD">
        <w:t>The record states</w:t>
      </w:r>
      <w:r w:rsidR="00CC1D48">
        <w:t xml:space="preserve"> not only</w:t>
      </w:r>
      <w:r w:rsidR="005554BD">
        <w:t xml:space="preserve"> the prevalence of </w:t>
      </w:r>
      <w:r w:rsidR="00BA4052">
        <w:t>physical abuse, but emotional and psychological abuse and marital rape as well.</w:t>
      </w:r>
      <w:r w:rsidR="00013B14">
        <w:rPr>
          <w:rStyle w:val="FootnoteReference"/>
        </w:rPr>
        <w:footnoteReference w:id="18"/>
      </w:r>
      <w:r w:rsidR="00F019CC">
        <w:t xml:space="preserve"> </w:t>
      </w:r>
      <w:r w:rsidR="005554BD">
        <w:t xml:space="preserve">It lists numerous studies detailing the plight of battered women to aid its assertion that the additional factors of poverty, </w:t>
      </w:r>
      <w:r w:rsidR="00773F24">
        <w:t xml:space="preserve">motherhood, and violence all work to create a burden on some women more than others. </w:t>
      </w:r>
    </w:p>
    <w:p w14:paraId="29045C95" w14:textId="45FD8754" w:rsidR="007402CA" w:rsidRDefault="007402CA" w:rsidP="005554BD">
      <w:pPr>
        <w:spacing w:line="480" w:lineRule="auto"/>
        <w:ind w:firstLine="720"/>
      </w:pPr>
      <w:r>
        <w:t>In addition, d</w:t>
      </w:r>
      <w:r w:rsidR="00B62FD1">
        <w:t>espite the state’s assertion that only one percent of women seeking abortions would be effected by the law, the Court declared it unconstitutional, saying that “the analysis does not end with the one percent of women upon whom the stat</w:t>
      </w:r>
      <w:r w:rsidR="00AB3558">
        <w:t>ute operates, it begins there</w:t>
      </w:r>
      <w:r w:rsidR="00770454">
        <w:t xml:space="preserve">” </w:t>
      </w:r>
      <w:r w:rsidR="00AB3558">
        <w:t xml:space="preserve">because a </w:t>
      </w:r>
      <w:r w:rsidR="00DE31DD">
        <w:t>constitutional standard could not</w:t>
      </w:r>
      <w:r w:rsidR="00AB3558">
        <w:t xml:space="preserve"> actually be constitutional if</w:t>
      </w:r>
      <w:r w:rsidR="00EE0410">
        <w:t xml:space="preserve"> </w:t>
      </w:r>
      <w:r w:rsidR="00AB3558">
        <w:t xml:space="preserve"> “it permitted states to enact restrictions that wholly precluded choice for some women merely </w:t>
      </w:r>
      <w:r w:rsidR="00AB3558">
        <w:lastRenderedPageBreak/>
        <w:t>because those restrictions would not constitute an “undue burden” for other, more fortunate women.”</w:t>
      </w:r>
      <w:r w:rsidR="00B62FD1">
        <w:rPr>
          <w:rStyle w:val="FootnoteReference"/>
        </w:rPr>
        <w:footnoteReference w:id="19"/>
      </w:r>
      <w:r w:rsidR="001A191A">
        <w:t xml:space="preserve"> </w:t>
      </w:r>
    </w:p>
    <w:p w14:paraId="6396F6EB" w14:textId="7D001AB9" w:rsidR="0002138B" w:rsidRPr="00787D01" w:rsidRDefault="005E7670" w:rsidP="007402CA">
      <w:pPr>
        <w:spacing w:line="480" w:lineRule="auto"/>
        <w:ind w:firstLine="720"/>
        <w:rPr>
          <w:color w:val="FF6600"/>
        </w:rPr>
      </w:pPr>
      <w:r>
        <w:t xml:space="preserve">By doing this, </w:t>
      </w:r>
      <w:r w:rsidR="00170642">
        <w:t xml:space="preserve">the Court </w:t>
      </w:r>
      <w:r w:rsidR="008F631B">
        <w:t xml:space="preserve">cautions against a clouded </w:t>
      </w:r>
      <w:r w:rsidR="007F26BB">
        <w:t xml:space="preserve">judicial </w:t>
      </w:r>
      <w:r w:rsidR="008F631B">
        <w:t xml:space="preserve">vision, </w:t>
      </w:r>
      <w:r w:rsidR="00B13C60">
        <w:t xml:space="preserve">in which </w:t>
      </w:r>
      <w:r w:rsidR="007F26BB">
        <w:t xml:space="preserve">the privilege of some </w:t>
      </w:r>
      <w:r w:rsidR="00DD2021">
        <w:t xml:space="preserve">remedies </w:t>
      </w:r>
      <w:r w:rsidR="007F26BB">
        <w:t>the extreme hardship faced by others</w:t>
      </w:r>
      <w:r w:rsidR="00DD2021">
        <w:t xml:space="preserve">. </w:t>
      </w:r>
      <w:r w:rsidR="001A191A">
        <w:t>The justices emphasize</w:t>
      </w:r>
      <w:r w:rsidR="00832228">
        <w:t>d</w:t>
      </w:r>
      <w:r w:rsidR="001A191A">
        <w:t xml:space="preserve"> that a constitutional test is to be applied to the part of the </w:t>
      </w:r>
      <w:r w:rsidR="00792ECC">
        <w:t xml:space="preserve">population that the law effects, and that the </w:t>
      </w:r>
      <w:r w:rsidR="00832228">
        <w:t xml:space="preserve">spousal notification </w:t>
      </w:r>
      <w:r w:rsidR="00792ECC">
        <w:t>law was unconstitutional because “in a large faction of the cases in which the legislation is relevant, it will operate as a substantial obstacle to a woman’s choice to undergo an abortion</w:t>
      </w:r>
      <w:r w:rsidR="00472E38">
        <w:t>.</w:t>
      </w:r>
      <w:r w:rsidR="008E4518">
        <w:t>”</w:t>
      </w:r>
      <w:r w:rsidR="00472E38">
        <w:rPr>
          <w:rStyle w:val="FootnoteReference"/>
        </w:rPr>
        <w:footnoteReference w:id="20"/>
      </w:r>
      <w:r>
        <w:t xml:space="preserve"> </w:t>
      </w:r>
    </w:p>
    <w:p w14:paraId="2AC1DCAD" w14:textId="2A3D8925" w:rsidR="009A5CD9" w:rsidRDefault="00351CBD" w:rsidP="00AC354A">
      <w:pPr>
        <w:spacing w:line="480" w:lineRule="auto"/>
      </w:pPr>
      <w:r>
        <w:tab/>
        <w:t>Despite its eloquent analysis of the spousal notification, the court ru</w:t>
      </w:r>
      <w:r w:rsidR="00393015">
        <w:t xml:space="preserve">led that all other parts of the contested legislation </w:t>
      </w:r>
      <w:r w:rsidR="00EF6260">
        <w:t>did not constitute an undue burden</w:t>
      </w:r>
      <w:r w:rsidR="00393015">
        <w:t xml:space="preserve">, even parental consent. However, the court also makes clear the possibility that </w:t>
      </w:r>
      <w:r w:rsidR="002F50D6">
        <w:t>lower courts or the Supreme Court itself could declare those same restrictions unconstitutional if given a more complete factual record</w:t>
      </w:r>
      <w:r w:rsidR="00DE31DD">
        <w:t>.</w:t>
      </w:r>
      <w:r w:rsidR="002F50D6">
        <w:rPr>
          <w:rStyle w:val="FootnoteReference"/>
        </w:rPr>
        <w:footnoteReference w:id="21"/>
      </w:r>
      <w:r w:rsidR="00407056">
        <w:t xml:space="preserve"> </w:t>
      </w:r>
      <w:r w:rsidR="005C2C36">
        <w:t xml:space="preserve">In </w:t>
      </w:r>
      <w:r w:rsidR="00E17CB6">
        <w:t xml:space="preserve">its justification for </w:t>
      </w:r>
      <w:r w:rsidR="005C2C36">
        <w:t xml:space="preserve">declining to invalidate each other provision, the Court repeatedly spells out that it </w:t>
      </w:r>
      <w:r w:rsidR="003447DC">
        <w:t>must rely on the evidence</w:t>
      </w:r>
      <w:r w:rsidR="00E17CB6">
        <w:t xml:space="preserve"> presented by the Plaintiffs</w:t>
      </w:r>
      <w:r w:rsidR="00FE5E2C">
        <w:t>, and that the factual records for the effects of these provisions did not hold up to the District court’s analysis of the spousal notification</w:t>
      </w:r>
      <w:r w:rsidR="003447DC">
        <w:t xml:space="preserve">. The constitutionality </w:t>
      </w:r>
      <w:r w:rsidR="00E17CB6">
        <w:t>of the mandatory waiting period was</w:t>
      </w:r>
      <w:r w:rsidR="003447DC">
        <w:t xml:space="preserve"> upheld</w:t>
      </w:r>
      <w:r w:rsidR="00647274">
        <w:t xml:space="preserve"> by the majority opinion</w:t>
      </w:r>
      <w:r w:rsidR="003447DC">
        <w:t xml:space="preserve"> “on the record before the Court, and in the c</w:t>
      </w:r>
      <w:r w:rsidR="00E17CB6">
        <w:t>ontext of this facial challenge</w:t>
      </w:r>
      <w:r w:rsidR="003447DC">
        <w:t>”</w:t>
      </w:r>
      <w:r w:rsidR="009663F7">
        <w:t>; while the state-scripted counseling was allowed because “there is no evidence on this record that the provision would amount in practical terms</w:t>
      </w:r>
      <w:r w:rsidR="00926E49">
        <w:t xml:space="preserve"> to a substantial obstacle” while </w:t>
      </w:r>
      <w:r w:rsidR="00501327">
        <w:t xml:space="preserve">the Plaintiff’s assertion of increased cost </w:t>
      </w:r>
      <w:r w:rsidR="00501327">
        <w:lastRenderedPageBreak/>
        <w:t xml:space="preserve">resulting </w:t>
      </w:r>
      <w:r w:rsidR="009663F7">
        <w:t xml:space="preserve">from recordkeeping and reporting provisions </w:t>
      </w:r>
      <w:r w:rsidR="00501327">
        <w:t xml:space="preserve">rejected </w:t>
      </w:r>
      <w:r w:rsidR="00F72736">
        <w:t>because</w:t>
      </w:r>
      <w:r w:rsidR="009663F7">
        <w:t>, again, “there is no such showing on the record before us.”</w:t>
      </w:r>
      <w:r w:rsidR="009663F7">
        <w:rPr>
          <w:rStyle w:val="FootnoteReference"/>
        </w:rPr>
        <w:footnoteReference w:id="22"/>
      </w:r>
      <w:r w:rsidR="009663F7">
        <w:t xml:space="preserve"> </w:t>
      </w:r>
    </w:p>
    <w:p w14:paraId="32157FA1" w14:textId="15C30BF0" w:rsidR="009B6654" w:rsidRPr="003A54DD" w:rsidRDefault="0094583D" w:rsidP="00AC354A">
      <w:pPr>
        <w:spacing w:line="480" w:lineRule="auto"/>
      </w:pPr>
      <w:r>
        <w:tab/>
        <w:t xml:space="preserve">Members of the Court not represented by the joint opinion also </w:t>
      </w:r>
      <w:r w:rsidR="00DE31DD">
        <w:t xml:space="preserve">express </w:t>
      </w:r>
      <w:r w:rsidR="001E6DFC">
        <w:t xml:space="preserve">in their opinions the idea </w:t>
      </w:r>
      <w:r>
        <w:t>that Casey’s strength was only restricted by the facts at hand. Justice Blackmun</w:t>
      </w:r>
      <w:r w:rsidR="002C5885">
        <w:t xml:space="preserve">, the author of </w:t>
      </w:r>
      <w:r w:rsidR="002C5885">
        <w:rPr>
          <w:i/>
        </w:rPr>
        <w:t>Roe</w:t>
      </w:r>
      <w:r>
        <w:t xml:space="preserve">, </w:t>
      </w:r>
      <w:r w:rsidR="003A54DD">
        <w:t>in his dissent of the joint opinion’s validation</w:t>
      </w:r>
      <w:r w:rsidR="002C5885">
        <w:t xml:space="preserve"> of the Pennsylvania statutes, </w:t>
      </w:r>
      <w:r w:rsidR="003A54DD">
        <w:t xml:space="preserve">states that it “makes clear that its specific holdings are based on the insufficiency of the record before it” and expresses confidence in the possibility of “future evidence” being used to declare the specific provisions in </w:t>
      </w:r>
      <w:r w:rsidR="003A54DD">
        <w:rPr>
          <w:i/>
        </w:rPr>
        <w:t xml:space="preserve">Casey </w:t>
      </w:r>
      <w:r w:rsidR="003A54DD">
        <w:t>actually unconstitutional.</w:t>
      </w:r>
      <w:r w:rsidR="009850E2">
        <w:rPr>
          <w:rStyle w:val="FootnoteReference"/>
        </w:rPr>
        <w:footnoteReference w:id="23"/>
      </w:r>
      <w:r w:rsidR="003A54DD">
        <w:t xml:space="preserve"> </w:t>
      </w:r>
      <w:r w:rsidR="002B1348">
        <w:t xml:space="preserve">And notable abortion opponent </w:t>
      </w:r>
      <w:r w:rsidR="00CC2CBF">
        <w:t xml:space="preserve">Justice Scalia acknowledged the </w:t>
      </w:r>
      <w:r w:rsidR="002B1348">
        <w:t xml:space="preserve">future possibilities of the purpose prong </w:t>
      </w:r>
      <w:r w:rsidR="00416C8B">
        <w:t xml:space="preserve">while criticizing what he viewed as the majority opinion’s downgrade of state interest in unborn life; </w:t>
      </w:r>
      <w:r w:rsidR="002B1348">
        <w:t>stating that it “may ultimately require the invalidation of each provision upheld today if it can be shown, on a better record, that the State is too effectively ‘expressing a preference for childbirth over abortion.”</w:t>
      </w:r>
      <w:r w:rsidR="002B1348">
        <w:rPr>
          <w:rStyle w:val="FootnoteReference"/>
        </w:rPr>
        <w:footnoteReference w:id="24"/>
      </w:r>
    </w:p>
    <w:p w14:paraId="17FC8E99" w14:textId="77777777" w:rsidR="00190818" w:rsidRDefault="009B6654" w:rsidP="00190818">
      <w:pPr>
        <w:widowControl w:val="0"/>
        <w:autoSpaceDE w:val="0"/>
        <w:autoSpaceDN w:val="0"/>
        <w:adjustRightInd w:val="0"/>
        <w:spacing w:after="240" w:line="480" w:lineRule="auto"/>
        <w:ind w:firstLine="720"/>
        <w:rPr>
          <w:rFonts w:cs="Trebuchet MS"/>
        </w:rPr>
      </w:pPr>
      <w:r>
        <w:t xml:space="preserve">Despite the </w:t>
      </w:r>
      <w:r w:rsidR="00832228">
        <w:t xml:space="preserve">frequent and legitimate </w:t>
      </w:r>
      <w:r w:rsidR="0002138B">
        <w:t>criticism of the court’s vagueness in defining the undue burden test</w:t>
      </w:r>
      <w:r w:rsidR="00A42619">
        <w:t xml:space="preserve"> and its contradictory rulings on the regulations besides spousal notification</w:t>
      </w:r>
      <w:r w:rsidR="0002138B">
        <w:t xml:space="preserve">, there are bold statements throughout Casey to indicate its strength in defending reproductive autonomy. </w:t>
      </w:r>
      <w:r w:rsidR="0053135A" w:rsidRPr="0053135A">
        <w:t xml:space="preserve">In particular, the court is vigilant against ideological government interference, declaring undue burden to “be </w:t>
      </w:r>
      <w:r w:rsidR="0053135A" w:rsidRPr="0053135A">
        <w:rPr>
          <w:rFonts w:cs="Trebuchet MS"/>
        </w:rPr>
        <w:t>shorthand for the conclusion that a state regulation has the purpose or effect of placing a substantial obstacle in the path of a woman seeking an abortion of a nonviable fetus</w:t>
      </w:r>
      <w:r w:rsidR="003D6C6A">
        <w:rPr>
          <w:rFonts w:ascii="Trebuchet MS" w:hAnsi="Trebuchet MS" w:cs="Trebuchet MS"/>
          <w:sz w:val="22"/>
          <w:szCs w:val="22"/>
        </w:rPr>
        <w:t>.”</w:t>
      </w:r>
      <w:r w:rsidR="00DA3312">
        <w:rPr>
          <w:rStyle w:val="FootnoteReference"/>
          <w:rFonts w:ascii="Trebuchet MS" w:hAnsi="Trebuchet MS" w:cs="Trebuchet MS"/>
          <w:sz w:val="22"/>
          <w:szCs w:val="22"/>
        </w:rPr>
        <w:footnoteReference w:id="25"/>
      </w:r>
      <w:r w:rsidR="00A46EDF">
        <w:rPr>
          <w:rFonts w:ascii="Trebuchet MS" w:hAnsi="Trebuchet MS" w:cs="Trebuchet MS"/>
          <w:sz w:val="22"/>
          <w:szCs w:val="22"/>
        </w:rPr>
        <w:t xml:space="preserve"> </w:t>
      </w:r>
      <w:r>
        <w:rPr>
          <w:rFonts w:cs="Trebuchet MS"/>
        </w:rPr>
        <w:t>I</w:t>
      </w:r>
      <w:r w:rsidR="00FA5DCE">
        <w:rPr>
          <w:rFonts w:cs="Trebuchet MS"/>
        </w:rPr>
        <w:t>t</w:t>
      </w:r>
      <w:r w:rsidR="00DE31DD">
        <w:rPr>
          <w:rFonts w:cs="Trebuchet MS"/>
        </w:rPr>
        <w:t xml:space="preserve"> also</w:t>
      </w:r>
      <w:r w:rsidR="00FA5DCE">
        <w:rPr>
          <w:rFonts w:cs="Trebuchet MS"/>
        </w:rPr>
        <w:t xml:space="preserve"> does not make a state’s interest in promoting childbirth all</w:t>
      </w:r>
      <w:r w:rsidR="00386CD7">
        <w:rPr>
          <w:rFonts w:cs="Trebuchet MS"/>
        </w:rPr>
        <w:t>-</w:t>
      </w:r>
      <w:r w:rsidR="00FA5DCE">
        <w:rPr>
          <w:rFonts w:cs="Trebuchet MS"/>
        </w:rPr>
        <w:t xml:space="preserve">powerful, </w:t>
      </w:r>
      <w:r w:rsidR="00895A78">
        <w:rPr>
          <w:rFonts w:cs="Trebuchet MS"/>
        </w:rPr>
        <w:t>with Ju</w:t>
      </w:r>
      <w:r w:rsidR="001E6DFC">
        <w:rPr>
          <w:rFonts w:cs="Trebuchet MS"/>
        </w:rPr>
        <w:t xml:space="preserve">stice O’Connor saying that </w:t>
      </w:r>
      <w:r w:rsidR="00895A78">
        <w:rPr>
          <w:rFonts w:cs="Trebuchet MS"/>
        </w:rPr>
        <w:t xml:space="preserve">even with </w:t>
      </w:r>
      <w:r w:rsidR="00895A78">
        <w:rPr>
          <w:rFonts w:cs="Trebuchet MS"/>
        </w:rPr>
        <w:lastRenderedPageBreak/>
        <w:t>regulations “women’s choice should not be subordinate to state interest that her choice exists in theory but not in fact.”</w:t>
      </w:r>
      <w:r w:rsidR="00895A78">
        <w:rPr>
          <w:rStyle w:val="FootnoteReference"/>
          <w:rFonts w:cs="Trebuchet MS"/>
        </w:rPr>
        <w:footnoteReference w:id="26"/>
      </w:r>
      <w:r w:rsidR="000904A8">
        <w:rPr>
          <w:rFonts w:cs="Trebuchet MS"/>
        </w:rPr>
        <w:t xml:space="preserve"> </w:t>
      </w:r>
    </w:p>
    <w:p w14:paraId="07FB9C62" w14:textId="4EF73329" w:rsidR="009A7895" w:rsidRPr="00190818" w:rsidRDefault="00AB01B3" w:rsidP="00190818">
      <w:pPr>
        <w:widowControl w:val="0"/>
        <w:autoSpaceDE w:val="0"/>
        <w:autoSpaceDN w:val="0"/>
        <w:adjustRightInd w:val="0"/>
        <w:spacing w:after="240" w:line="480" w:lineRule="auto"/>
        <w:ind w:firstLine="720"/>
        <w:rPr>
          <w:rFonts w:cs="Trebuchet MS"/>
        </w:rPr>
      </w:pPr>
      <w:r>
        <w:rPr>
          <w:rFonts w:cs="Trebuchet MS"/>
        </w:rPr>
        <w:t xml:space="preserve">Additionally, in </w:t>
      </w:r>
      <w:r w:rsidR="00E83728">
        <w:rPr>
          <w:rFonts w:cs="Trebuchet MS"/>
        </w:rPr>
        <w:t>i</w:t>
      </w:r>
      <w:r w:rsidR="009B6654" w:rsidRPr="00053CB6">
        <w:rPr>
          <w:rFonts w:cs="Trebuchet MS"/>
        </w:rPr>
        <w:t xml:space="preserve">ts rejection of the state of Pennsylvania’s </w:t>
      </w:r>
      <w:r w:rsidR="009B6654">
        <w:rPr>
          <w:rFonts w:cs="Trebuchet MS"/>
        </w:rPr>
        <w:t>‘</w:t>
      </w:r>
      <w:r w:rsidR="009B6654" w:rsidRPr="00053CB6">
        <w:rPr>
          <w:rFonts w:cs="Trebuchet MS"/>
        </w:rPr>
        <w:t>one percent</w:t>
      </w:r>
      <w:r w:rsidR="00E83728">
        <w:rPr>
          <w:rFonts w:cs="Trebuchet MS"/>
        </w:rPr>
        <w:t xml:space="preserve">’ claim, the Court suggests the importance of </w:t>
      </w:r>
      <w:r w:rsidR="009B6654" w:rsidRPr="00053CB6">
        <w:rPr>
          <w:rFonts w:cs="Trebuchet MS"/>
        </w:rPr>
        <w:t>the need to take into account the</w:t>
      </w:r>
      <w:r w:rsidR="009B6654">
        <w:rPr>
          <w:rFonts w:cs="Trebuchet MS"/>
        </w:rPr>
        <w:t xml:space="preserve"> lives of </w:t>
      </w:r>
      <w:r w:rsidR="009B6654">
        <w:rPr>
          <w:rFonts w:cs="Trebuchet MS"/>
          <w:i/>
        </w:rPr>
        <w:t xml:space="preserve">all </w:t>
      </w:r>
      <w:r w:rsidR="009B6654">
        <w:rPr>
          <w:rFonts w:cs="Trebuchet MS"/>
        </w:rPr>
        <w:t>women possibly affected when analyzing legislation.</w:t>
      </w:r>
      <w:r w:rsidR="00E83728">
        <w:rPr>
          <w:rFonts w:cs="Trebuchet MS"/>
        </w:rPr>
        <w:t xml:space="preserve"> </w:t>
      </w:r>
      <w:r w:rsidR="005F6E62">
        <w:rPr>
          <w:rFonts w:cs="Trebuchet MS"/>
        </w:rPr>
        <w:t xml:space="preserve">This is where the health of the undue burden standard lies, </w:t>
      </w:r>
      <w:r w:rsidR="00B03C21">
        <w:rPr>
          <w:rFonts w:cs="Trebuchet MS"/>
        </w:rPr>
        <w:t xml:space="preserve">in the real lives of the women affected by abortion restrictions. </w:t>
      </w:r>
      <w:r w:rsidR="006C0BEF">
        <w:rPr>
          <w:rFonts w:cs="Trebuchet MS"/>
        </w:rPr>
        <w:t xml:space="preserve">The majority opinion in </w:t>
      </w:r>
      <w:r w:rsidR="006C0BEF">
        <w:rPr>
          <w:rFonts w:cs="Trebuchet MS"/>
          <w:i/>
        </w:rPr>
        <w:t xml:space="preserve">Casey </w:t>
      </w:r>
      <w:r w:rsidR="006C0BEF">
        <w:rPr>
          <w:rFonts w:cs="Trebuchet MS"/>
        </w:rPr>
        <w:t xml:space="preserve">emphasizes that its inability to determine the Pennsylvania provisions unconstitutional </w:t>
      </w:r>
      <w:r w:rsidR="00FD0F99">
        <w:rPr>
          <w:rFonts w:cs="Trebuchet MS"/>
        </w:rPr>
        <w:t xml:space="preserve">came from the lack of a factual analysis before it. </w:t>
      </w:r>
      <w:r>
        <w:rPr>
          <w:rFonts w:cs="Trebuchet MS"/>
        </w:rPr>
        <w:t>In doing so, the Court provides a framework for lower courts to build from in interpreting undue burden; but it does not present its ruling as the solidified jurisprudence, emphasizing the job of the lower courts in analyzing the legislation</w:t>
      </w:r>
      <w:r w:rsidR="00787D01">
        <w:rPr>
          <w:rFonts w:cs="Trebuchet MS"/>
        </w:rPr>
        <w:t xml:space="preserve"> in the context of the specific state</w:t>
      </w:r>
      <w:r>
        <w:rPr>
          <w:rFonts w:cs="Trebuchet MS"/>
        </w:rPr>
        <w:t xml:space="preserve"> and</w:t>
      </w:r>
      <w:r w:rsidR="00787D01">
        <w:rPr>
          <w:rFonts w:cs="Trebuchet MS"/>
        </w:rPr>
        <w:t xml:space="preserve"> reviewing the</w:t>
      </w:r>
      <w:r>
        <w:rPr>
          <w:rFonts w:cs="Trebuchet MS"/>
        </w:rPr>
        <w:t xml:space="preserve"> unique factual record before it. </w:t>
      </w:r>
    </w:p>
    <w:p w14:paraId="5EAD6B74" w14:textId="2B3C5A8B" w:rsidR="00190818" w:rsidRPr="00190818" w:rsidRDefault="00190818" w:rsidP="00624B7E">
      <w:pPr>
        <w:spacing w:line="480" w:lineRule="auto"/>
        <w:rPr>
          <w:b/>
        </w:rPr>
      </w:pPr>
      <w:r w:rsidRPr="00190818">
        <w:rPr>
          <w:b/>
        </w:rPr>
        <w:t>Whole Woman’s Health v. Cole</w:t>
      </w:r>
    </w:p>
    <w:p w14:paraId="5ADCE470" w14:textId="77777777" w:rsidR="00624B7E" w:rsidRDefault="00983F2B" w:rsidP="00624B7E">
      <w:pPr>
        <w:spacing w:line="480" w:lineRule="auto"/>
        <w:rPr>
          <w:i/>
          <w:color w:val="FF6600"/>
        </w:rPr>
      </w:pPr>
      <w:r>
        <w:rPr>
          <w:i/>
        </w:rPr>
        <w:tab/>
      </w:r>
      <w:r w:rsidR="00592EE2">
        <w:t xml:space="preserve">An increasingly popular move by state legislatures </w:t>
      </w:r>
      <w:r w:rsidR="00345AF7">
        <w:t xml:space="preserve">is </w:t>
      </w:r>
      <w:r w:rsidR="00AF15A8">
        <w:t xml:space="preserve">the </w:t>
      </w:r>
      <w:r w:rsidR="00345AF7">
        <w:t>Targeted Regulation of Abortion Providers, or TRAP</w:t>
      </w:r>
      <w:r w:rsidR="00866B0F">
        <w:t xml:space="preserve"> laws</w:t>
      </w:r>
      <w:r w:rsidR="00345AF7">
        <w:t>.</w:t>
      </w:r>
      <w:r w:rsidR="0094271F">
        <w:t xml:space="preserve"> </w:t>
      </w:r>
      <w:r w:rsidR="00866B0F">
        <w:t xml:space="preserve">  These regulations</w:t>
      </w:r>
      <w:r w:rsidR="00802061">
        <w:t>, specifically singling</w:t>
      </w:r>
      <w:r w:rsidR="00866B0F">
        <w:t xml:space="preserve"> out abortion </w:t>
      </w:r>
      <w:r w:rsidR="00587CAD">
        <w:t>provide</w:t>
      </w:r>
      <w:r w:rsidR="00802061">
        <w:t xml:space="preserve">rs for rules and regulations not required for other out-patient clinics, </w:t>
      </w:r>
      <w:r w:rsidR="009858DA">
        <w:t xml:space="preserve">are purported to </w:t>
      </w:r>
      <w:r w:rsidR="00802061">
        <w:t xml:space="preserve">promote the health and safety of women. </w:t>
      </w:r>
      <w:r w:rsidR="008630A7">
        <w:t>Despite fi</w:t>
      </w:r>
      <w:r w:rsidR="00C9081B">
        <w:t>rst-trimester abortions being an</w:t>
      </w:r>
      <w:r w:rsidR="001374B6">
        <w:t xml:space="preserve"> out</w:t>
      </w:r>
      <w:r w:rsidR="008630A7">
        <w:t xml:space="preserve">patient procedure </w:t>
      </w:r>
      <w:r w:rsidR="00D762BC">
        <w:t xml:space="preserve">with a complication rate less than colonoscopies and outpatient oral surgery, </w:t>
      </w:r>
      <w:r w:rsidR="008630A7">
        <w:t>twenty-two states currently have restrictions on providers t</w:t>
      </w:r>
      <w:r w:rsidR="00AF15A8">
        <w:t xml:space="preserve">hat do not apply to similar out </w:t>
      </w:r>
      <w:r w:rsidR="008630A7">
        <w:t>patient clinics.</w:t>
      </w:r>
      <w:r w:rsidR="00B9762F">
        <w:rPr>
          <w:rStyle w:val="FootnoteReference"/>
        </w:rPr>
        <w:footnoteReference w:id="27"/>
      </w:r>
      <w:r w:rsidR="00624B7E">
        <w:t xml:space="preserve"> </w:t>
      </w:r>
      <w:r w:rsidR="0094271F">
        <w:t xml:space="preserve"> </w:t>
      </w:r>
    </w:p>
    <w:p w14:paraId="74D68AD6" w14:textId="5093E0E1" w:rsidR="008B6366" w:rsidRPr="00624B7E" w:rsidRDefault="00C9081B" w:rsidP="00624B7E">
      <w:pPr>
        <w:spacing w:line="480" w:lineRule="auto"/>
        <w:ind w:firstLine="720"/>
        <w:rPr>
          <w:i/>
          <w:color w:val="FF6600"/>
        </w:rPr>
      </w:pPr>
      <w:r>
        <w:lastRenderedPageBreak/>
        <w:t xml:space="preserve">In 2013, Texas joined that list with H.B. 2, a law that </w:t>
      </w:r>
      <w:r w:rsidR="00B432A4">
        <w:t>contained</w:t>
      </w:r>
      <w:r w:rsidR="00BD6741">
        <w:t xml:space="preserve"> numerous TRAP provisions; including </w:t>
      </w:r>
      <w:r w:rsidR="00563895">
        <w:t xml:space="preserve">requiring </w:t>
      </w:r>
      <w:r>
        <w:t>doctors to obtain hospital admitting privileges within thirty miles of the facility where abortions are performed</w:t>
      </w:r>
      <w:r w:rsidR="00BD6741">
        <w:t>,</w:t>
      </w:r>
      <w:r>
        <w:t xml:space="preserve"> and requiring all abortion facilities to meet the standards of an ambulatory surgical center, or ASC.</w:t>
      </w:r>
      <w:r w:rsidR="00B9762F">
        <w:rPr>
          <w:rStyle w:val="FootnoteReference"/>
        </w:rPr>
        <w:footnoteReference w:id="28"/>
      </w:r>
      <w:r>
        <w:t xml:space="preserve"> </w:t>
      </w:r>
      <w:r w:rsidR="0027768C">
        <w:t>In April 2013, b</w:t>
      </w:r>
      <w:r w:rsidR="00B41D85">
        <w:t>efore the law was passed, Texas had forty-one abortion providers</w:t>
      </w:r>
      <w:r w:rsidR="0027768C">
        <w:t xml:space="preserve">; </w:t>
      </w:r>
      <w:r w:rsidR="001E698A">
        <w:t xml:space="preserve">by the time of the </w:t>
      </w:r>
      <w:r w:rsidR="00A400AA">
        <w:t xml:space="preserve">ASC requirements were supposed to be implemented </w:t>
      </w:r>
      <w:r w:rsidR="0058151F">
        <w:t xml:space="preserve">in September of 2014, only </w:t>
      </w:r>
      <w:r w:rsidR="0027768C">
        <w:t>eighteen</w:t>
      </w:r>
      <w:r w:rsidR="00A400AA">
        <w:t xml:space="preserve"> </w:t>
      </w:r>
      <w:r w:rsidR="0058151F">
        <w:t>clinics remained.</w:t>
      </w:r>
      <w:r w:rsidR="0058151F">
        <w:rPr>
          <w:rStyle w:val="FootnoteReference"/>
        </w:rPr>
        <w:footnoteReference w:id="29"/>
      </w:r>
      <w:r w:rsidR="0058151F">
        <w:t xml:space="preserve"> </w:t>
      </w:r>
    </w:p>
    <w:p w14:paraId="5E742790" w14:textId="54270A27" w:rsidR="00472221" w:rsidRDefault="001374B6" w:rsidP="001E698A">
      <w:pPr>
        <w:spacing w:line="480" w:lineRule="auto"/>
        <w:ind w:firstLine="720"/>
      </w:pPr>
      <w:r>
        <w:t>Four Texas clinics and three doctors</w:t>
      </w:r>
      <w:r w:rsidR="008B6366">
        <w:t xml:space="preserve"> </w:t>
      </w:r>
      <w:r>
        <w:t>sued the state of Texas</w:t>
      </w:r>
      <w:r w:rsidR="008B6366">
        <w:t xml:space="preserve"> </w:t>
      </w:r>
      <w:r w:rsidR="001E698A">
        <w:t>shortly after its passage</w:t>
      </w:r>
      <w:r>
        <w:t>, finding fault with both the pu</w:t>
      </w:r>
      <w:r w:rsidR="003E6351">
        <w:t>rpose and effect of the H.B. 2 on claims of equal protection violations, unlawful delegation, and unreasonable state action</w:t>
      </w:r>
      <w:r w:rsidR="00FF4173">
        <w:t xml:space="preserve">, in addition to </w:t>
      </w:r>
      <w:r w:rsidR="004C1B0E">
        <w:t xml:space="preserve">claiming the substantial burden </w:t>
      </w:r>
      <w:r w:rsidR="003E6351">
        <w:t>it would place on Texas women.</w:t>
      </w:r>
      <w:r w:rsidR="003E6351">
        <w:rPr>
          <w:rStyle w:val="FootnoteReference"/>
        </w:rPr>
        <w:footnoteReference w:id="30"/>
      </w:r>
      <w:r w:rsidR="003E6351">
        <w:t xml:space="preserve"> </w:t>
      </w:r>
      <w:r w:rsidR="004C1B0E">
        <w:t xml:space="preserve">The resulting case, </w:t>
      </w:r>
      <w:r w:rsidR="004C1B0E">
        <w:rPr>
          <w:i/>
        </w:rPr>
        <w:t xml:space="preserve">Woman’s Whole Health v. Cole, </w:t>
      </w:r>
      <w:r w:rsidR="002D2DD2">
        <w:t xml:space="preserve">provided challenges to the hospital admittance provisions and ASC requirements as-applied to </w:t>
      </w:r>
      <w:r w:rsidR="002D2DD2">
        <w:rPr>
          <w:i/>
        </w:rPr>
        <w:t xml:space="preserve">Woman’s Whole Health </w:t>
      </w:r>
      <w:r w:rsidR="002D2DD2">
        <w:t xml:space="preserve">in McAllen and </w:t>
      </w:r>
      <w:r w:rsidR="002D2DD2">
        <w:rPr>
          <w:i/>
        </w:rPr>
        <w:t xml:space="preserve">Reproductive Services </w:t>
      </w:r>
      <w:r w:rsidR="002D2DD2">
        <w:t>in El Paso</w:t>
      </w:r>
      <w:r w:rsidR="00BD6741">
        <w:t xml:space="preserve">; as well as a </w:t>
      </w:r>
      <w:r w:rsidR="002D2DD2">
        <w:t xml:space="preserve">facial challenge to the ASC requirements. </w:t>
      </w:r>
      <w:r w:rsidR="00064201">
        <w:t xml:space="preserve">A </w:t>
      </w:r>
      <w:r w:rsidR="00472221">
        <w:t xml:space="preserve">facial challenge purports that the statue is always unconstitutional and should therefore be generally voided. The as-applied challenge seeks </w:t>
      </w:r>
      <w:r w:rsidR="00064201">
        <w:t>to find the statue unconstitutional in the specific situation being raised and to remedy that situation, without necessarily scraping the entire statue.</w:t>
      </w:r>
      <w:r w:rsidR="00064201">
        <w:rPr>
          <w:rStyle w:val="FootnoteReference"/>
        </w:rPr>
        <w:footnoteReference w:id="31"/>
      </w:r>
    </w:p>
    <w:p w14:paraId="30573B3F" w14:textId="64905DC6" w:rsidR="005D4665" w:rsidRDefault="008B6366" w:rsidP="007B3689">
      <w:pPr>
        <w:spacing w:line="480" w:lineRule="auto"/>
        <w:ind w:firstLine="720"/>
      </w:pPr>
      <w:r>
        <w:t xml:space="preserve">The case has bounced its way </w:t>
      </w:r>
      <w:r w:rsidR="004C1B0E">
        <w:t>through the court</w:t>
      </w:r>
      <w:r>
        <w:t xml:space="preserve"> </w:t>
      </w:r>
      <w:r w:rsidR="001E698A">
        <w:t xml:space="preserve">system, </w:t>
      </w:r>
      <w:r w:rsidR="00BD6741">
        <w:t>and has reached</w:t>
      </w:r>
      <w:r w:rsidR="001E698A">
        <w:t xml:space="preserve"> the Supreme Court itself</w:t>
      </w:r>
      <w:r w:rsidR="00BD6741">
        <w:t xml:space="preserve"> more than once</w:t>
      </w:r>
      <w:r w:rsidR="001E698A">
        <w:t xml:space="preserve">. </w:t>
      </w:r>
      <w:r w:rsidR="004C1B0E">
        <w:t>While the Western District Co</w:t>
      </w:r>
      <w:r w:rsidR="00FF4173">
        <w:t xml:space="preserve">urt of Texas rejected </w:t>
      </w:r>
      <w:r w:rsidR="004C1B0E">
        <w:t xml:space="preserve">the Plaintiff’s purpose assertions in </w:t>
      </w:r>
      <w:r w:rsidR="00FF4173">
        <w:rPr>
          <w:i/>
        </w:rPr>
        <w:t>Woman’s Whole Health v. Cole</w:t>
      </w:r>
      <w:r w:rsidR="004C1B0E">
        <w:rPr>
          <w:i/>
        </w:rPr>
        <w:t xml:space="preserve">, </w:t>
      </w:r>
      <w:r w:rsidR="004C1B0E">
        <w:t>it did grant an injunction against the enforcement of the two provisions</w:t>
      </w:r>
      <w:r w:rsidR="001E698A">
        <w:t xml:space="preserve"> statewide, declaring that</w:t>
      </w:r>
      <w:r w:rsidR="008E50D7">
        <w:t xml:space="preserve"> the stated purpose </w:t>
      </w:r>
      <w:r w:rsidR="008E50D7">
        <w:lastRenderedPageBreak/>
        <w:t xml:space="preserve">of improving women’s health was unlikely and that </w:t>
      </w:r>
      <w:r w:rsidR="001E698A">
        <w:t>the ensuing effect on the availability and geography of abortion providers would place a substant</w:t>
      </w:r>
      <w:r w:rsidR="00103E1D">
        <w:t>ial obstacle in the path of wome</w:t>
      </w:r>
      <w:r w:rsidR="001E698A">
        <w:t>n seeking an abortion.</w:t>
      </w:r>
      <w:r w:rsidR="008E50D7">
        <w:rPr>
          <w:rStyle w:val="FootnoteReference"/>
        </w:rPr>
        <w:footnoteReference w:id="32"/>
      </w:r>
      <w:r w:rsidR="001E698A">
        <w:t xml:space="preserve">  </w:t>
      </w:r>
      <w:r w:rsidR="00F4239E">
        <w:t>During its appeal process, the 5</w:t>
      </w:r>
      <w:r w:rsidR="00F4239E" w:rsidRPr="00F4239E">
        <w:rPr>
          <w:vertAlign w:val="superscript"/>
        </w:rPr>
        <w:t>th</w:t>
      </w:r>
      <w:r w:rsidR="00F4239E">
        <w:t xml:space="preserve"> Circui</w:t>
      </w:r>
      <w:r w:rsidR="00A72301">
        <w:t>t of the appellate court issued a stay</w:t>
      </w:r>
      <w:r w:rsidR="00F4239E">
        <w:t xml:space="preserve">, allowing the two laws to be enforced during the litigation process. However, only twelve days later, the United State Supreme Court </w:t>
      </w:r>
      <w:r w:rsidR="00A72301">
        <w:t>lifted that order and prohibited the statewide enforcement of ASC requirements and the enforcement of admitting privileges in McAllen and El Paso</w:t>
      </w:r>
      <w:r w:rsidR="00402868">
        <w:t xml:space="preserve"> </w:t>
      </w:r>
      <w:r w:rsidR="001009A3">
        <w:t>specifically</w:t>
      </w:r>
      <w:r w:rsidR="00103E1D">
        <w:t xml:space="preserve"> while awaiting the 5</w:t>
      </w:r>
      <w:r w:rsidR="00103E1D" w:rsidRPr="00103E1D">
        <w:rPr>
          <w:vertAlign w:val="superscript"/>
        </w:rPr>
        <w:t>th</w:t>
      </w:r>
      <w:r w:rsidR="00103E1D">
        <w:t xml:space="preserve"> Circuit’s ruling</w:t>
      </w:r>
      <w:r w:rsidR="00A72301">
        <w:t>.</w:t>
      </w:r>
      <w:r w:rsidR="001430A8">
        <w:rPr>
          <w:rStyle w:val="FootnoteReference"/>
        </w:rPr>
        <w:footnoteReference w:id="33"/>
      </w:r>
      <w:r w:rsidR="00A72301">
        <w:t xml:space="preserve"> </w:t>
      </w:r>
      <w:r w:rsidR="00F67FA7">
        <w:t>Several months aft</w:t>
      </w:r>
      <w:r w:rsidR="00A0408C">
        <w:t>er the Supreme Court’s foray</w:t>
      </w:r>
      <w:r w:rsidR="00F67FA7">
        <w:t xml:space="preserve"> into the case, </w:t>
      </w:r>
      <w:r w:rsidR="003E715A">
        <w:t xml:space="preserve">a three-judge panel on </w:t>
      </w:r>
      <w:r w:rsidR="00F67FA7">
        <w:t>t</w:t>
      </w:r>
      <w:r w:rsidR="00B41D85">
        <w:t>he 5</w:t>
      </w:r>
      <w:r w:rsidR="00B41D85" w:rsidRPr="00B41D85">
        <w:rPr>
          <w:vertAlign w:val="superscript"/>
        </w:rPr>
        <w:t>th</w:t>
      </w:r>
      <w:r w:rsidR="00B41D85">
        <w:t xml:space="preserve"> Circuit Court of Appeals reversed the district court’s </w:t>
      </w:r>
      <w:r w:rsidR="00103E1D">
        <w:t xml:space="preserve">injunctions in </w:t>
      </w:r>
      <w:r w:rsidR="00103E1D">
        <w:rPr>
          <w:i/>
        </w:rPr>
        <w:t>Cole</w:t>
      </w:r>
      <w:r w:rsidR="00B41D85">
        <w:t xml:space="preserve">, declaring that the plaintiffs had not shown that the regulations would impose a substantial burden on a woman seeking an abortion. </w:t>
      </w:r>
    </w:p>
    <w:p w14:paraId="1F06C4ED" w14:textId="55CCFAB7" w:rsidR="00AC41E5" w:rsidRPr="00A400AA" w:rsidRDefault="002E1601" w:rsidP="005D4665">
      <w:pPr>
        <w:spacing w:line="480" w:lineRule="auto"/>
        <w:ind w:firstLine="720"/>
      </w:pPr>
      <w:r>
        <w:t xml:space="preserve"> </w:t>
      </w:r>
      <w:r w:rsidR="005D4665">
        <w:t>First, the Circuit judges take</w:t>
      </w:r>
      <w:r w:rsidR="00D943D2">
        <w:t xml:space="preserve"> at face </w:t>
      </w:r>
      <w:r w:rsidR="00F86E12">
        <w:t xml:space="preserve">value the </w:t>
      </w:r>
      <w:r w:rsidR="0036074D">
        <w:t xml:space="preserve">health and safety </w:t>
      </w:r>
      <w:r w:rsidR="00097AFC">
        <w:t>assertion of the Texas legislature</w:t>
      </w:r>
      <w:r w:rsidR="00F86E12">
        <w:t xml:space="preserve">, </w:t>
      </w:r>
      <w:r w:rsidR="00AF15A8">
        <w:t xml:space="preserve">stating </w:t>
      </w:r>
      <w:r w:rsidR="00F86E12">
        <w:t>that “there is no question</w:t>
      </w:r>
      <w:r w:rsidR="0036074D">
        <w:t xml:space="preserve"> th</w:t>
      </w:r>
      <w:r w:rsidR="00D53F84">
        <w:t>at this is a legitimate purpose</w:t>
      </w:r>
      <w:r w:rsidR="0036074D">
        <w:t>”</w:t>
      </w:r>
      <w:r w:rsidR="00D53F84">
        <w:t xml:space="preserve"> and refusing to investigate beyond that.</w:t>
      </w:r>
      <w:r w:rsidR="0036074D">
        <w:rPr>
          <w:rStyle w:val="FootnoteReference"/>
        </w:rPr>
        <w:footnoteReference w:id="34"/>
      </w:r>
      <w:r w:rsidR="0036074D">
        <w:t xml:space="preserve"> </w:t>
      </w:r>
      <w:r w:rsidR="004E4281">
        <w:t>Second, the Circuit</w:t>
      </w:r>
      <w:r w:rsidR="00262D3D">
        <w:t xml:space="preserve"> judges re</w:t>
      </w:r>
      <w:r w:rsidR="005D4665">
        <w:t>ject</w:t>
      </w:r>
      <w:r w:rsidR="001528F1">
        <w:t xml:space="preserve"> all the facial </w:t>
      </w:r>
      <w:r w:rsidR="00262D3D">
        <w:t>challenges to the provisions</w:t>
      </w:r>
      <w:r w:rsidR="001528F1">
        <w:t xml:space="preserve"> regarding their effect</w:t>
      </w:r>
      <w:r w:rsidR="00262D3D">
        <w:t xml:space="preserve">, only </w:t>
      </w:r>
      <w:r w:rsidR="004E4281">
        <w:t xml:space="preserve">upholding the District court’s injunction of enforcement against the two specific clinics in McAllen and </w:t>
      </w:r>
      <w:r w:rsidR="00262D3D">
        <w:t>El Paso</w:t>
      </w:r>
      <w:r w:rsidR="00102C19">
        <w:t>, in appeasement to the Supreme Court</w:t>
      </w:r>
      <w:r w:rsidR="00262D3D">
        <w:t xml:space="preserve">. </w:t>
      </w:r>
      <w:r w:rsidR="00102C19">
        <w:t xml:space="preserve">The decision </w:t>
      </w:r>
      <w:r w:rsidR="00A0408C">
        <w:t xml:space="preserve">promotes </w:t>
      </w:r>
      <w:r w:rsidR="005D4665">
        <w:t xml:space="preserve">the constitutionality </w:t>
      </w:r>
      <w:r w:rsidR="00B73F16">
        <w:t>of both the hospital admitting privileges</w:t>
      </w:r>
      <w:r w:rsidR="00102C19">
        <w:t xml:space="preserve"> and </w:t>
      </w:r>
      <w:r w:rsidR="001528F1">
        <w:t xml:space="preserve">the ASC requirement on the basis of a lack of </w:t>
      </w:r>
      <w:r w:rsidR="00A0408C">
        <w:t xml:space="preserve">contrary </w:t>
      </w:r>
      <w:r w:rsidR="001528F1">
        <w:t>evidence</w:t>
      </w:r>
      <w:r w:rsidR="00102C19">
        <w:t xml:space="preserve">, </w:t>
      </w:r>
      <w:r w:rsidR="001528F1">
        <w:t xml:space="preserve">while </w:t>
      </w:r>
      <w:r w:rsidR="00102C19">
        <w:t xml:space="preserve">simultaneously </w:t>
      </w:r>
      <w:r w:rsidR="005D4665">
        <w:t>ruling that they</w:t>
      </w:r>
      <w:r w:rsidR="00CA111F">
        <w:t xml:space="preserve"> both</w:t>
      </w:r>
      <w:r w:rsidR="005D4665">
        <w:t xml:space="preserve"> constituted a</w:t>
      </w:r>
      <w:r w:rsidR="00102C19">
        <w:t xml:space="preserve"> substantial </w:t>
      </w:r>
      <w:r w:rsidR="005D4665">
        <w:t xml:space="preserve">enough burden </w:t>
      </w:r>
      <w:r w:rsidR="00A76466">
        <w:t>o</w:t>
      </w:r>
      <w:r w:rsidR="001528F1">
        <w:t xml:space="preserve">n women in </w:t>
      </w:r>
      <w:r w:rsidR="00CA111F">
        <w:t xml:space="preserve">two </w:t>
      </w:r>
      <w:r w:rsidR="001528F1">
        <w:t xml:space="preserve">specific situations. </w:t>
      </w:r>
      <w:r w:rsidR="006C328F">
        <w:t>The decision of the 5</w:t>
      </w:r>
      <w:r w:rsidR="006C328F" w:rsidRPr="006C328F">
        <w:rPr>
          <w:vertAlign w:val="superscript"/>
        </w:rPr>
        <w:t>th</w:t>
      </w:r>
      <w:r w:rsidR="006C328F">
        <w:t xml:space="preserve"> Circuit </w:t>
      </w:r>
      <w:r w:rsidR="00A6365E">
        <w:t xml:space="preserve">to uphold the ASC and admitting privileges </w:t>
      </w:r>
      <w:r w:rsidR="006C328F">
        <w:t xml:space="preserve">was enough to </w:t>
      </w:r>
      <w:r w:rsidR="00A6365E">
        <w:t xml:space="preserve">keep </w:t>
      </w:r>
      <w:r w:rsidR="006C328F">
        <w:t>the attention of the Supreme Court</w:t>
      </w:r>
      <w:r w:rsidR="00B52963">
        <w:t xml:space="preserve">, who </w:t>
      </w:r>
      <w:r w:rsidR="00B52963">
        <w:lastRenderedPageBreak/>
        <w:t xml:space="preserve">granted another stay of </w:t>
      </w:r>
      <w:r w:rsidR="007838DD">
        <w:t xml:space="preserve">enforcement </w:t>
      </w:r>
      <w:r w:rsidR="00ED785A">
        <w:t>pending its review</w:t>
      </w:r>
      <w:r w:rsidR="005910B4">
        <w:t xml:space="preserve"> shortly after its ruling</w:t>
      </w:r>
      <w:r w:rsidR="00ED785A">
        <w:t xml:space="preserve">. </w:t>
      </w:r>
      <w:r w:rsidR="00095BF3">
        <w:t>In November of 2015, the United States Supreme Court granted the petition of the Plaintiffs to review the 5</w:t>
      </w:r>
      <w:r w:rsidR="00095BF3" w:rsidRPr="00095BF3">
        <w:rPr>
          <w:vertAlign w:val="superscript"/>
        </w:rPr>
        <w:t>th</w:t>
      </w:r>
      <w:r w:rsidR="00095BF3">
        <w:t xml:space="preserve"> Circuit’s decision.</w:t>
      </w:r>
      <w:r w:rsidR="00095BF3">
        <w:rPr>
          <w:rStyle w:val="FootnoteReference"/>
        </w:rPr>
        <w:footnoteReference w:id="35"/>
      </w:r>
      <w:r w:rsidR="00A123F8">
        <w:t xml:space="preserve"> </w:t>
      </w:r>
    </w:p>
    <w:p w14:paraId="234B37A0" w14:textId="77777777" w:rsidR="00943238" w:rsidRDefault="003F75D2" w:rsidP="00943238">
      <w:pPr>
        <w:spacing w:line="480" w:lineRule="auto"/>
      </w:pPr>
      <w:r>
        <w:tab/>
        <w:t>If the Supreme Court had not intervened</w:t>
      </w:r>
      <w:r w:rsidR="00F948C1">
        <w:t xml:space="preserve"> and stayed the enforcement of ASC requirements</w:t>
      </w:r>
      <w:r>
        <w:t>, the 5</w:t>
      </w:r>
      <w:r w:rsidRPr="003F75D2">
        <w:rPr>
          <w:vertAlign w:val="superscript"/>
        </w:rPr>
        <w:t>th</w:t>
      </w:r>
      <w:r>
        <w:t xml:space="preserve"> Circuit’s decision would have left Texas and its 5.4 million women of reproductive age with </w:t>
      </w:r>
      <w:r w:rsidR="005D7618">
        <w:t xml:space="preserve">eight </w:t>
      </w:r>
      <w:r w:rsidR="00CF3A02">
        <w:t>abortion clinics.</w:t>
      </w:r>
      <w:r w:rsidR="00AA6FA6">
        <w:rPr>
          <w:rStyle w:val="FootnoteReference"/>
        </w:rPr>
        <w:footnoteReference w:id="36"/>
      </w:r>
      <w:r w:rsidR="00CF3A02">
        <w:t xml:space="preserve"> </w:t>
      </w:r>
      <w:r w:rsidR="007076B2">
        <w:t>Instead</w:t>
      </w:r>
      <w:r w:rsidR="00FA798C">
        <w:t xml:space="preserve">, in the months </w:t>
      </w:r>
      <w:r w:rsidR="00595F4E">
        <w:t xml:space="preserve">before </w:t>
      </w:r>
      <w:r w:rsidR="00FA798C">
        <w:t xml:space="preserve">H.B. 2’s day </w:t>
      </w:r>
      <w:r w:rsidR="00595F4E">
        <w:t xml:space="preserve">in </w:t>
      </w:r>
      <w:r w:rsidR="00FA798C">
        <w:t>the Court</w:t>
      </w:r>
      <w:r w:rsidR="007076B2">
        <w:t>, eighteen clinics provide for these women; whose lives often look</w:t>
      </w:r>
      <w:r w:rsidR="00B001E0">
        <w:t xml:space="preserve"> starkly different than the judges </w:t>
      </w:r>
      <w:r w:rsidR="007076B2">
        <w:t>deciding their fate</w:t>
      </w:r>
      <w:r w:rsidR="00B001E0">
        <w:t xml:space="preserve">. </w:t>
      </w:r>
    </w:p>
    <w:p w14:paraId="32B9CFBA" w14:textId="4F1C1370" w:rsidR="00BE1545" w:rsidRDefault="00B001E0" w:rsidP="000356EF">
      <w:pPr>
        <w:spacing w:line="480" w:lineRule="auto"/>
        <w:ind w:firstLine="720"/>
      </w:pPr>
      <w:r>
        <w:t xml:space="preserve">In 2014, the year </w:t>
      </w:r>
      <w:r w:rsidR="00943238">
        <w:t xml:space="preserve">the </w:t>
      </w:r>
      <w:r>
        <w:t>5</w:t>
      </w:r>
      <w:r w:rsidRPr="00B001E0">
        <w:rPr>
          <w:vertAlign w:val="superscript"/>
        </w:rPr>
        <w:t>th</w:t>
      </w:r>
      <w:r w:rsidR="004A4EE0">
        <w:t xml:space="preserve"> circuit decided </w:t>
      </w:r>
      <w:r>
        <w:rPr>
          <w:i/>
        </w:rPr>
        <w:t xml:space="preserve">Cole, </w:t>
      </w:r>
      <w:r>
        <w:t>each</w:t>
      </w:r>
      <w:r w:rsidR="00943238">
        <w:t xml:space="preserve"> judge</w:t>
      </w:r>
      <w:r>
        <w:t xml:space="preserve"> was making </w:t>
      </w:r>
      <w:r w:rsidR="004637A7">
        <w:t xml:space="preserve">a salary of </w:t>
      </w:r>
      <w:r>
        <w:t xml:space="preserve">$211,200. </w:t>
      </w:r>
      <w:r w:rsidR="0085284F">
        <w:rPr>
          <w:rStyle w:val="FootnoteReference"/>
        </w:rPr>
        <w:footnoteReference w:id="37"/>
      </w:r>
      <w:r>
        <w:t xml:space="preserve"> </w:t>
      </w:r>
      <w:r w:rsidR="004637A7">
        <w:t>This puts all three in the ninety-five percentile for income in the entire United States, and in the ninety-seventh percentile for rural parts of Texas.</w:t>
      </w:r>
      <w:r w:rsidR="004637A7">
        <w:rPr>
          <w:rStyle w:val="FootnoteReference"/>
        </w:rPr>
        <w:footnoteReference w:id="38"/>
      </w:r>
      <w:r w:rsidR="004622D4">
        <w:t xml:space="preserve"> </w:t>
      </w:r>
      <w:r w:rsidR="006F04F5">
        <w:t>In contrast, the median income for full-time female workers in Texas was $35,363</w:t>
      </w:r>
      <w:r w:rsidR="003515DA">
        <w:t>, which translates to seventy-nine percent of</w:t>
      </w:r>
      <w:r w:rsidR="007021B7">
        <w:t xml:space="preserve"> the median male income</w:t>
      </w:r>
      <w:r w:rsidR="000B068C">
        <w:t xml:space="preserve">, and putting them in the nationwide </w:t>
      </w:r>
      <w:r w:rsidR="006A38E2">
        <w:t>bottom thirty-one</w:t>
      </w:r>
      <w:r w:rsidR="000B068C">
        <w:t xml:space="preserve"> perc</w:t>
      </w:r>
      <w:r w:rsidR="006A38E2">
        <w:t>ent</w:t>
      </w:r>
      <w:r w:rsidR="007021B7">
        <w:t>.</w:t>
      </w:r>
      <w:r w:rsidR="001C7F6E">
        <w:t xml:space="preserve"> </w:t>
      </w:r>
      <w:r w:rsidR="007021B7">
        <w:t>I</w:t>
      </w:r>
      <w:r w:rsidR="004C2F8C">
        <w:t>n addition,</w:t>
      </w:r>
      <w:r w:rsidR="0027755E">
        <w:t xml:space="preserve"> </w:t>
      </w:r>
      <w:r w:rsidR="004C2F8C">
        <w:t>women</w:t>
      </w:r>
      <w:r w:rsidR="000356EF">
        <w:t xml:space="preserve"> account for</w:t>
      </w:r>
      <w:r w:rsidR="002D773E">
        <w:t xml:space="preserve"> sixty three percent of Texas’s </w:t>
      </w:r>
      <w:r w:rsidR="007A5943">
        <w:t xml:space="preserve">minimum wage </w:t>
      </w:r>
      <w:r w:rsidR="000356EF">
        <w:t>workers</w:t>
      </w:r>
      <w:r w:rsidR="0098286E">
        <w:t xml:space="preserve">, </w:t>
      </w:r>
      <w:r w:rsidR="000356EF">
        <w:t>job</w:t>
      </w:r>
      <w:r w:rsidR="007A5943">
        <w:t>s</w:t>
      </w:r>
      <w:r w:rsidR="000356EF">
        <w:t xml:space="preserve"> </w:t>
      </w:r>
      <w:r w:rsidR="0098286E">
        <w:t xml:space="preserve">which are traditionally hourly and </w:t>
      </w:r>
      <w:r w:rsidR="00363B2C">
        <w:t xml:space="preserve">rarely </w:t>
      </w:r>
      <w:r w:rsidR="00546296">
        <w:t>provide</w:t>
      </w:r>
      <w:r w:rsidR="00363B2C">
        <w:t xml:space="preserve"> flexible and paid time off</w:t>
      </w:r>
      <w:r w:rsidR="00636417">
        <w:t>.</w:t>
      </w:r>
      <w:r w:rsidR="00CB3FDB">
        <w:rPr>
          <w:rStyle w:val="FootnoteReference"/>
        </w:rPr>
        <w:footnoteReference w:id="39"/>
      </w:r>
      <w:r w:rsidR="004C2F8C">
        <w:t xml:space="preserve"> </w:t>
      </w:r>
      <w:r w:rsidR="00EA1E06">
        <w:t>The result is that women in Texas are twice as likely to live in poverty than a man is.</w:t>
      </w:r>
      <w:r w:rsidR="00EA1E06">
        <w:rPr>
          <w:rStyle w:val="FootnoteReference"/>
        </w:rPr>
        <w:footnoteReference w:id="40"/>
      </w:r>
      <w:r w:rsidR="007451F0">
        <w:t xml:space="preserve"> </w:t>
      </w:r>
      <w:r w:rsidR="0067248F">
        <w:t>Put in</w:t>
      </w:r>
      <w:r w:rsidR="004C2F8C">
        <w:t xml:space="preserve"> another context, </w:t>
      </w:r>
      <w:r w:rsidR="00BE1545">
        <w:t>17.8% of reproductive-age women in Texas are living under the poverty line, two points higher than the national average</w:t>
      </w:r>
      <w:r w:rsidR="00883B6E">
        <w:t>.</w:t>
      </w:r>
      <w:r w:rsidR="00883B6E">
        <w:rPr>
          <w:rStyle w:val="FootnoteReference"/>
        </w:rPr>
        <w:footnoteReference w:id="41"/>
      </w:r>
      <w:r w:rsidR="00883B6E">
        <w:t xml:space="preserve"> </w:t>
      </w:r>
      <w:r w:rsidR="00785C81">
        <w:t xml:space="preserve">Some of these </w:t>
      </w:r>
      <w:r w:rsidR="00785C81">
        <w:lastRenderedPageBreak/>
        <w:t>women are single, surviving on under $11,173 a year.</w:t>
      </w:r>
      <w:r w:rsidR="00785C81">
        <w:rPr>
          <w:rStyle w:val="FootnoteReference"/>
        </w:rPr>
        <w:footnoteReference w:id="42"/>
      </w:r>
      <w:r w:rsidR="00785C81">
        <w:t xml:space="preserve"> </w:t>
      </w:r>
      <w:r w:rsidR="001C7F6E">
        <w:t xml:space="preserve">But its single mothers who have the highest </w:t>
      </w:r>
      <w:r w:rsidR="00694300">
        <w:t xml:space="preserve">levels of </w:t>
      </w:r>
      <w:r w:rsidR="001C7F6E">
        <w:t>poverty</w:t>
      </w:r>
      <w:r w:rsidR="00694300">
        <w:t>, surviving under $18,769 for a parent and two children</w:t>
      </w:r>
      <w:r w:rsidR="0086611D">
        <w:t>. They make up forty one percent</w:t>
      </w:r>
      <w:r w:rsidR="007451F0">
        <w:t xml:space="preserve"> of family types in poverty </w:t>
      </w:r>
      <w:r w:rsidR="001C7F6E">
        <w:t>and female-headed households also make up the majority of</w:t>
      </w:r>
      <w:r w:rsidR="00215FD3">
        <w:t xml:space="preserve"> impoverished</w:t>
      </w:r>
      <w:r w:rsidR="001C7F6E">
        <w:t xml:space="preserve"> households across the state.</w:t>
      </w:r>
      <w:r w:rsidR="00622623">
        <w:rPr>
          <w:rStyle w:val="FootnoteReference"/>
        </w:rPr>
        <w:footnoteReference w:id="43"/>
      </w:r>
      <w:r w:rsidR="001C7F6E">
        <w:t xml:space="preserve"> </w:t>
      </w:r>
    </w:p>
    <w:p w14:paraId="4B1AAC8B" w14:textId="17A304F3" w:rsidR="00D943D2" w:rsidRPr="00050E1C" w:rsidRDefault="00C06ED0" w:rsidP="00F67FA7">
      <w:pPr>
        <w:spacing w:line="480" w:lineRule="auto"/>
      </w:pPr>
      <w:r>
        <w:tab/>
      </w:r>
      <w:r w:rsidR="00746519">
        <w:t xml:space="preserve">The importance of </w:t>
      </w:r>
      <w:r w:rsidR="006C09FF">
        <w:t xml:space="preserve">the task of </w:t>
      </w:r>
      <w:r w:rsidR="00746519">
        <w:t>reflecting the reality of the lives of Texan women</w:t>
      </w:r>
      <w:r w:rsidR="006C09FF">
        <w:t xml:space="preserve"> </w:t>
      </w:r>
      <w:r w:rsidR="001C6868">
        <w:t>comes to light</w:t>
      </w:r>
      <w:r w:rsidR="006C09FF">
        <w:t xml:space="preserve"> when looking at the demographics of who obtains abortions</w:t>
      </w:r>
      <w:r w:rsidR="001C6868">
        <w:t xml:space="preserve">. </w:t>
      </w:r>
      <w:r w:rsidR="00837264">
        <w:t>Forty-two percent of the more than one million Am</w:t>
      </w:r>
      <w:r w:rsidR="0017174A">
        <w:t>erican women seeking abortions e</w:t>
      </w:r>
      <w:r w:rsidR="00837264">
        <w:t xml:space="preserve">ach year live below the poverty line, and an additional twenty-seven percent live </w:t>
      </w:r>
      <w:r w:rsidR="00335998">
        <w:t xml:space="preserve">between </w:t>
      </w:r>
      <w:r w:rsidR="006C09FF">
        <w:t>100 and 199 percent</w:t>
      </w:r>
      <w:r w:rsidR="00837264">
        <w:t xml:space="preserve"> of the line.</w:t>
      </w:r>
      <w:r w:rsidR="006A38E2">
        <w:rPr>
          <w:rStyle w:val="FootnoteReference"/>
        </w:rPr>
        <w:footnoteReference w:id="44"/>
      </w:r>
      <w:r w:rsidR="00837264">
        <w:t xml:space="preserve"> </w:t>
      </w:r>
      <w:r w:rsidR="00335998">
        <w:t>Furthermore, mothers with one or more children make up sixty-one percent of the women seeking abortions.</w:t>
      </w:r>
      <w:r w:rsidR="00EA5296">
        <w:rPr>
          <w:rStyle w:val="FootnoteReference"/>
        </w:rPr>
        <w:footnoteReference w:id="45"/>
      </w:r>
      <w:r w:rsidR="00620775">
        <w:t xml:space="preserve"> In other words, women, and mothers in particular, are more likely to have low incomes compared to </w:t>
      </w:r>
      <w:r w:rsidR="00A14095">
        <w:t xml:space="preserve">the </w:t>
      </w:r>
      <w:r w:rsidR="00620775">
        <w:t xml:space="preserve">men in their state and in comparison to </w:t>
      </w:r>
      <w:r w:rsidR="001E4343">
        <w:t xml:space="preserve">women </w:t>
      </w:r>
      <w:r w:rsidR="00A14095">
        <w:t xml:space="preserve">in </w:t>
      </w:r>
      <w:r w:rsidR="00620775">
        <w:t>m</w:t>
      </w:r>
      <w:r w:rsidR="00A14095">
        <w:t xml:space="preserve">any other parts of the country; and these women </w:t>
      </w:r>
      <w:r w:rsidR="0087289E">
        <w:t xml:space="preserve">will most likely </w:t>
      </w:r>
      <w:r w:rsidR="00C97311">
        <w:t xml:space="preserve">make up the majority of </w:t>
      </w:r>
      <w:r w:rsidR="00A14095">
        <w:t xml:space="preserve">the </w:t>
      </w:r>
      <w:r w:rsidR="0087289E">
        <w:t>those seeking abortions.</w:t>
      </w:r>
      <w:r w:rsidR="008C5625">
        <w:t xml:space="preserve"> </w:t>
      </w:r>
      <w:r w:rsidR="00A116D6">
        <w:t xml:space="preserve">Therefore, this segment of women will be the ones most effected by the regulations, both because they make up a majority of those seeking abortions and because the circumstances surrounding having children </w:t>
      </w:r>
      <w:r w:rsidR="0017174A">
        <w:t>and finite resources</w:t>
      </w:r>
      <w:r w:rsidR="00A116D6">
        <w:t xml:space="preserve"> compound </w:t>
      </w:r>
      <w:r w:rsidR="0017174A">
        <w:t xml:space="preserve">the </w:t>
      </w:r>
      <w:r w:rsidR="00A116D6">
        <w:t xml:space="preserve">obstacles the woman must navigate. </w:t>
      </w:r>
      <w:r w:rsidR="00E96C68">
        <w:t xml:space="preserve">Because of the </w:t>
      </w:r>
      <w:r w:rsidR="005F096F">
        <w:t xml:space="preserve">realities surrounding abortion care, the judges examining the Texas provisions should </w:t>
      </w:r>
      <w:r w:rsidR="0094271F">
        <w:t xml:space="preserve">have </w:t>
      </w:r>
      <w:r w:rsidR="005F096F">
        <w:t>take into particular consideration the actual life circumstances of women</w:t>
      </w:r>
      <w:r w:rsidR="00987246">
        <w:t>;</w:t>
      </w:r>
      <w:r w:rsidR="002352F4">
        <w:t xml:space="preserve"> </w:t>
      </w:r>
      <w:r w:rsidR="00987246">
        <w:t>i</w:t>
      </w:r>
      <w:r w:rsidR="00996BD0">
        <w:t>ncluding the cost of childcare</w:t>
      </w:r>
      <w:r w:rsidR="00F94583">
        <w:t xml:space="preserve"> and other additional expenses</w:t>
      </w:r>
      <w:r w:rsidR="006B1538">
        <w:t xml:space="preserve"> in comparison to a woman’s realistic income when determining whether it creates t</w:t>
      </w:r>
      <w:r w:rsidR="0017174A">
        <w:t>o</w:t>
      </w:r>
      <w:r w:rsidR="006B1538">
        <w:t xml:space="preserve">o much of a burden. </w:t>
      </w:r>
      <w:r w:rsidR="00050E1C">
        <w:t xml:space="preserve">However, the Circuit judges in </w:t>
      </w:r>
      <w:r w:rsidR="00050E1C">
        <w:rPr>
          <w:i/>
        </w:rPr>
        <w:t xml:space="preserve">Cole </w:t>
      </w:r>
      <w:r w:rsidR="009F4EFF">
        <w:t>did the bare minimum to interpret and apply</w:t>
      </w:r>
      <w:r w:rsidR="00050E1C">
        <w:t xml:space="preserve"> the </w:t>
      </w:r>
      <w:r w:rsidR="00050E1C">
        <w:rPr>
          <w:i/>
        </w:rPr>
        <w:t xml:space="preserve">Casey </w:t>
      </w:r>
      <w:r w:rsidR="00050E1C">
        <w:t>standard</w:t>
      </w:r>
      <w:r w:rsidR="009F4EFF">
        <w:t xml:space="preserve">, </w:t>
      </w:r>
      <w:r w:rsidR="00176093">
        <w:lastRenderedPageBreak/>
        <w:t xml:space="preserve">rejecting </w:t>
      </w:r>
      <w:r w:rsidR="009F4EFF">
        <w:t>expert testimony in favor of</w:t>
      </w:r>
      <w:r w:rsidR="00FE57E3">
        <w:t xml:space="preserve"> applying its own views and</w:t>
      </w:r>
      <w:r w:rsidR="009F4EFF">
        <w:t xml:space="preserve"> affirming its own precedent. </w:t>
      </w:r>
      <w:r w:rsidR="00050E1C">
        <w:t xml:space="preserve"> </w:t>
      </w:r>
    </w:p>
    <w:p w14:paraId="1B272DF2" w14:textId="77777777" w:rsidR="00170642" w:rsidRDefault="00946BB0" w:rsidP="00703255">
      <w:pPr>
        <w:spacing w:line="480" w:lineRule="auto"/>
      </w:pPr>
      <w:r>
        <w:tab/>
      </w:r>
      <w:r w:rsidR="00654DA2">
        <w:t xml:space="preserve">The plaintiffs in </w:t>
      </w:r>
      <w:r w:rsidR="00654DA2">
        <w:rPr>
          <w:i/>
        </w:rPr>
        <w:t xml:space="preserve">Cole </w:t>
      </w:r>
      <w:r w:rsidR="00654DA2">
        <w:t xml:space="preserve">challenged the closures resulting from the Texas provisions by suggesting that the increased distance to abortion providers provided a substantial obstacle. </w:t>
      </w:r>
      <w:r>
        <w:t xml:space="preserve">Both the District court and the </w:t>
      </w:r>
      <w:r w:rsidR="00884BF1">
        <w:t>5</w:t>
      </w:r>
      <w:r w:rsidR="00884BF1" w:rsidRPr="00884BF1">
        <w:rPr>
          <w:vertAlign w:val="superscript"/>
        </w:rPr>
        <w:t>th</w:t>
      </w:r>
      <w:r w:rsidR="00884BF1">
        <w:t xml:space="preserve"> </w:t>
      </w:r>
      <w:r>
        <w:t xml:space="preserve">Circuit court rely on the </w:t>
      </w:r>
      <w:r w:rsidR="00825BB5">
        <w:t>circuit’s precedent</w:t>
      </w:r>
      <w:r w:rsidR="00200438">
        <w:t xml:space="preserve"> </w:t>
      </w:r>
      <w:r>
        <w:t xml:space="preserve">in </w:t>
      </w:r>
      <w:r>
        <w:rPr>
          <w:i/>
        </w:rPr>
        <w:t>Abbott</w:t>
      </w:r>
      <w:r>
        <w:t xml:space="preserve"> </w:t>
      </w:r>
      <w:r w:rsidR="008D2E5A">
        <w:t>declaring</w:t>
      </w:r>
      <w:r>
        <w:t xml:space="preserve"> “an increase in travel of less than 150 miles for some women is not an undue burden under </w:t>
      </w:r>
      <w:r>
        <w:rPr>
          <w:i/>
        </w:rPr>
        <w:t>Casey</w:t>
      </w:r>
      <w:r w:rsidR="00A20AA6">
        <w:rPr>
          <w:i/>
        </w:rPr>
        <w:t>”</w:t>
      </w:r>
      <w:r>
        <w:rPr>
          <w:rStyle w:val="FootnoteReference"/>
          <w:i/>
        </w:rPr>
        <w:footnoteReference w:id="46"/>
      </w:r>
      <w:r w:rsidR="00300CA6">
        <w:rPr>
          <w:i/>
        </w:rPr>
        <w:t xml:space="preserve"> </w:t>
      </w:r>
      <w:r w:rsidR="00300CA6">
        <w:t xml:space="preserve">In doing so, it simply regurgitates the decision of </w:t>
      </w:r>
      <w:r w:rsidR="00300CA6">
        <w:rPr>
          <w:i/>
        </w:rPr>
        <w:t xml:space="preserve">Casey, </w:t>
      </w:r>
      <w:r w:rsidR="00300CA6">
        <w:t>without viewing the provision’s effect in the context of Texas.</w:t>
      </w:r>
      <w:r w:rsidR="00D943D2">
        <w:t xml:space="preserve"> </w:t>
      </w:r>
      <w:r w:rsidR="00300CA6">
        <w:t>Even further, the panel</w:t>
      </w:r>
      <w:r w:rsidR="00D943D2">
        <w:t xml:space="preserve"> suggests that the </w:t>
      </w:r>
      <w:r w:rsidR="00D943D2">
        <w:rPr>
          <w:i/>
        </w:rPr>
        <w:t>Casey “</w:t>
      </w:r>
      <w:r w:rsidR="00D943D2">
        <w:t>permitted even farther distances than 150 miles because it involved a 24 hour-waiting period”</w:t>
      </w:r>
      <w:r w:rsidR="007B030B">
        <w:t xml:space="preserve">, in reference to </w:t>
      </w:r>
      <w:r w:rsidR="0066599B">
        <w:t xml:space="preserve">Texas’s </w:t>
      </w:r>
      <w:r w:rsidR="007B030B">
        <w:t xml:space="preserve">H.B. 15, </w:t>
      </w:r>
      <w:r w:rsidR="00354F8C">
        <w:t xml:space="preserve">the 2011 law that </w:t>
      </w:r>
      <w:r w:rsidR="007B030B">
        <w:t>created a twenty-four waiting period for abortions</w:t>
      </w:r>
      <w:r w:rsidR="00D943D2">
        <w:t>.</w:t>
      </w:r>
      <w:r w:rsidR="00D943D2">
        <w:rPr>
          <w:rStyle w:val="FootnoteReference"/>
        </w:rPr>
        <w:footnoteReference w:id="47"/>
      </w:r>
      <w:r w:rsidR="00D943D2">
        <w:t xml:space="preserve"> </w:t>
      </w:r>
      <w:r w:rsidR="007B030B">
        <w:t>I</w:t>
      </w:r>
      <w:r w:rsidR="00850F33">
        <w:t xml:space="preserve">nstead of recognizing that </w:t>
      </w:r>
      <w:r w:rsidR="007B030B">
        <w:t>women would have to make the trip twice or stay in the place they traveled to</w:t>
      </w:r>
      <w:r w:rsidR="00850F33">
        <w:t xml:space="preserve"> because of the waiting period</w:t>
      </w:r>
      <w:r w:rsidR="00F4196E">
        <w:t>, creating additional costs and</w:t>
      </w:r>
      <w:r w:rsidR="000904FC">
        <w:t xml:space="preserve"> more burden than if the distance existed alone; </w:t>
      </w:r>
      <w:r w:rsidR="007B030B">
        <w:t>the</w:t>
      </w:r>
      <w:r w:rsidR="000904FC">
        <w:t xml:space="preserve"> j</w:t>
      </w:r>
      <w:r w:rsidR="00411D17">
        <w:t>udges toy with the idea of</w:t>
      </w:r>
      <w:r w:rsidR="00FC5D07">
        <w:t xml:space="preserve"> the extra restriction as a way to extend the distance threshold</w:t>
      </w:r>
      <w:r w:rsidR="007B030B">
        <w:t xml:space="preserve">. </w:t>
      </w:r>
      <w:r w:rsidR="00531874">
        <w:t xml:space="preserve">The judges also fail to make mention of </w:t>
      </w:r>
      <w:r w:rsidR="006637D2">
        <w:t xml:space="preserve">the </w:t>
      </w:r>
      <w:r w:rsidR="00531874">
        <w:t>extra days of childcare, missed days of work,</w:t>
      </w:r>
      <w:r w:rsidR="00755839">
        <w:t xml:space="preserve"> and gas and lodging expenditures that will </w:t>
      </w:r>
      <w:r w:rsidR="00791084">
        <w:t xml:space="preserve">additionally top the cost of abortion. </w:t>
      </w:r>
      <w:r w:rsidR="004F5163">
        <w:t xml:space="preserve">In </w:t>
      </w:r>
      <w:r w:rsidR="007B030B">
        <w:t>doing so, the judges both ignore and condone the extra burden</w:t>
      </w:r>
      <w:r w:rsidR="00656FA4">
        <w:t>s</w:t>
      </w:r>
      <w:r w:rsidR="007B030B">
        <w:t xml:space="preserve"> placed by the compounding restrictions</w:t>
      </w:r>
      <w:r w:rsidR="00791084">
        <w:t>, legislative and circumstantial</w:t>
      </w:r>
      <w:r w:rsidR="007B030B">
        <w:t xml:space="preserve">. </w:t>
      </w:r>
    </w:p>
    <w:p w14:paraId="0E96AD77" w14:textId="6E24B7ED" w:rsidR="00946BB0" w:rsidRPr="00D943D2" w:rsidRDefault="00DA6174" w:rsidP="00170642">
      <w:pPr>
        <w:spacing w:line="480" w:lineRule="auto"/>
        <w:ind w:firstLine="720"/>
      </w:pPr>
      <w:r>
        <w:t>In addition</w:t>
      </w:r>
      <w:r w:rsidR="00A20AA6">
        <w:t>, in</w:t>
      </w:r>
      <w:r w:rsidR="00F4196E">
        <w:t xml:space="preserve"> further</w:t>
      </w:r>
      <w:r w:rsidR="00A20AA6">
        <w:t xml:space="preserve"> rejecting the lower court’s ruling, the judges reasoned that the 1/13 of all reproductive-age women who would have to travel more than 150 miles after </w:t>
      </w:r>
      <w:r w:rsidR="00A20AA6">
        <w:lastRenderedPageBreak/>
        <w:t xml:space="preserve">the admitting privileges provision and the 1/6 of all reproductive-age women after the ASC requirements </w:t>
      </w:r>
      <w:r w:rsidR="0017174A">
        <w:t xml:space="preserve">was </w:t>
      </w:r>
      <w:r w:rsidR="00A20AA6">
        <w:t>not</w:t>
      </w:r>
      <w:r w:rsidR="0017174A">
        <w:t xml:space="preserve"> enough to</w:t>
      </w:r>
      <w:r w:rsidR="00A20AA6">
        <w:t xml:space="preserve"> meet the ‘large faction test’ established by </w:t>
      </w:r>
      <w:r w:rsidR="00A20AA6">
        <w:rPr>
          <w:i/>
        </w:rPr>
        <w:t>Casey.</w:t>
      </w:r>
      <w:r w:rsidR="00703255">
        <w:rPr>
          <w:rStyle w:val="FootnoteReference"/>
          <w:i/>
        </w:rPr>
        <w:footnoteReference w:id="48"/>
      </w:r>
      <w:r w:rsidR="00D943D2">
        <w:rPr>
          <w:i/>
        </w:rPr>
        <w:t xml:space="preserve"> </w:t>
      </w:r>
    </w:p>
    <w:p w14:paraId="1F8173D4" w14:textId="2BDDDFB1" w:rsidR="00504FCA" w:rsidRDefault="00D943D2" w:rsidP="00F67FA7">
      <w:pPr>
        <w:spacing w:line="480" w:lineRule="auto"/>
      </w:pPr>
      <w:r>
        <w:tab/>
        <w:t xml:space="preserve"> </w:t>
      </w:r>
      <w:r w:rsidR="005D7618">
        <w:t>The 5</w:t>
      </w:r>
      <w:r w:rsidR="005D7618" w:rsidRPr="005D7618">
        <w:rPr>
          <w:vertAlign w:val="superscript"/>
        </w:rPr>
        <w:t>th</w:t>
      </w:r>
      <w:r w:rsidR="005D7618">
        <w:t xml:space="preserve"> Circuit </w:t>
      </w:r>
      <w:r w:rsidR="00D55FCA">
        <w:t xml:space="preserve">also </w:t>
      </w:r>
      <w:r w:rsidR="005D7618">
        <w:t>rejected the Plaintiff’s testimony that existing ASC clinics would not be able to adapt to the loss of coverage created by the closure of non-ASC clinics</w:t>
      </w:r>
      <w:r w:rsidR="00A56B85">
        <w:t>, creating an undue burden on women utilizing those clinics</w:t>
      </w:r>
      <w:r w:rsidR="005D7618">
        <w:t>. It admonished the Plaintiff’s testimony regarding the capacity of ASC</w:t>
      </w:r>
      <w:r w:rsidR="00411D17">
        <w:t xml:space="preserve"> clinics</w:t>
      </w:r>
      <w:r w:rsidR="005D7618">
        <w:t xml:space="preserve"> to meet demand, stating that the increase of 14,000 annual abortions to about 70,000 abortions for the eight ASC clinics was an assumption. In the next sentence, the panel </w:t>
      </w:r>
      <w:r w:rsidR="00E222A6">
        <w:t>assumes that “there does not appear to be any evidence in the record that the current ASCs are operating at full capacity or that they cannot increase capacity.”</w:t>
      </w:r>
      <w:r w:rsidR="00E222A6">
        <w:rPr>
          <w:rStyle w:val="FootnoteReference"/>
        </w:rPr>
        <w:footnoteReference w:id="49"/>
      </w:r>
      <w:r w:rsidR="00901A58">
        <w:t xml:space="preserve"> </w:t>
      </w:r>
      <w:r w:rsidR="00504FCA">
        <w:t>By outright rejecting the expert testimony</w:t>
      </w:r>
      <w:r w:rsidR="00805624">
        <w:t xml:space="preserve"> and replacing it with literal non-evidence,</w:t>
      </w:r>
      <w:r w:rsidR="009C05DD">
        <w:t xml:space="preserve"> the panel avoids a true inquiry</w:t>
      </w:r>
      <w:r w:rsidR="00805624">
        <w:t xml:space="preserve"> into the effect of the proposed law. </w:t>
      </w:r>
    </w:p>
    <w:p w14:paraId="39E68850" w14:textId="63F1827A" w:rsidR="00D44FAF" w:rsidRDefault="00805624" w:rsidP="00CF3BAA">
      <w:pPr>
        <w:spacing w:line="480" w:lineRule="auto"/>
        <w:ind w:firstLine="720"/>
      </w:pPr>
      <w:r>
        <w:t xml:space="preserve">However, if it had ventured such an inquiry, it might have found </w:t>
      </w:r>
      <w:r w:rsidR="00443FAD">
        <w:t>real evidence that such a small number of</w:t>
      </w:r>
      <w:r w:rsidR="00953DA4">
        <w:t xml:space="preserve"> </w:t>
      </w:r>
      <w:r w:rsidR="00D55FCA">
        <w:t>permi</w:t>
      </w:r>
      <w:r w:rsidR="00656FA4">
        <w:t>t</w:t>
      </w:r>
      <w:r w:rsidR="00D55FCA">
        <w:t xml:space="preserve">table </w:t>
      </w:r>
      <w:r w:rsidR="00953DA4">
        <w:t>clinics wou</w:t>
      </w:r>
      <w:r w:rsidR="00D55FCA">
        <w:t xml:space="preserve">ld not be able to take on the seventy-eight percent of abortions </w:t>
      </w:r>
      <w:r w:rsidR="00656FA4">
        <w:t xml:space="preserve">currently </w:t>
      </w:r>
      <w:r w:rsidR="00D55FCA">
        <w:t>performed at non-ASC clinics</w:t>
      </w:r>
      <w:r w:rsidR="004A0A09">
        <w:t xml:space="preserve"> in Texas</w:t>
      </w:r>
      <w:r w:rsidR="00D55FCA">
        <w:t>;</w:t>
      </w:r>
      <w:r w:rsidR="00953DA4">
        <w:t xml:space="preserve"> </w:t>
      </w:r>
      <w:r w:rsidR="00D55FCA">
        <w:t>and that the current number of abortion providers cut in half by the hospital admittance provisions</w:t>
      </w:r>
      <w:r w:rsidR="004A0A09">
        <w:t xml:space="preserve"> in 2013</w:t>
      </w:r>
      <w:r w:rsidR="00D55FCA">
        <w:t xml:space="preserve"> were already struggling to provide for the women they served.</w:t>
      </w:r>
      <w:r w:rsidR="00402868">
        <w:rPr>
          <w:rStyle w:val="FootnoteReference"/>
        </w:rPr>
        <w:footnoteReference w:id="50"/>
      </w:r>
      <w:r w:rsidR="00D55FCA">
        <w:t xml:space="preserve"> </w:t>
      </w:r>
      <w:r w:rsidR="00443FAD">
        <w:t xml:space="preserve">A study by the Texas Policy Evaluation Project, run by the University of Texas sought to examine </w:t>
      </w:r>
      <w:r w:rsidR="00D55FCA">
        <w:t>the effect of cl</w:t>
      </w:r>
      <w:r w:rsidR="001009A3">
        <w:t>inic closures across the state</w:t>
      </w:r>
      <w:r w:rsidR="00222DD7">
        <w:t xml:space="preserve"> on wait times to the first consultation appointment</w:t>
      </w:r>
      <w:r w:rsidR="001009A3">
        <w:t xml:space="preserve">. </w:t>
      </w:r>
      <w:r w:rsidR="00411D17">
        <w:t>It found that in Austin</w:t>
      </w:r>
      <w:r w:rsidR="00222DD7">
        <w:t xml:space="preserve"> and Forth Worth</w:t>
      </w:r>
      <w:r w:rsidR="00411D17">
        <w:t xml:space="preserve">, </w:t>
      </w:r>
      <w:r w:rsidR="00222DD7">
        <w:t xml:space="preserve">cities </w:t>
      </w:r>
      <w:r w:rsidR="00411D17">
        <w:t>with two providers</w:t>
      </w:r>
      <w:r w:rsidR="00222DD7">
        <w:t xml:space="preserve"> each</w:t>
      </w:r>
      <w:r w:rsidR="00411D17">
        <w:t xml:space="preserve">, </w:t>
      </w:r>
      <w:r w:rsidR="00656FA4">
        <w:t>wait times regularly reached twenty to twenty three days</w:t>
      </w:r>
      <w:r w:rsidR="00222DD7">
        <w:t>, and averaging around</w:t>
      </w:r>
      <w:r w:rsidR="00656FA4">
        <w:t xml:space="preserve"> ten to thirteen</w:t>
      </w:r>
      <w:r w:rsidR="00222DD7">
        <w:t xml:space="preserve"> days. </w:t>
      </w:r>
      <w:r w:rsidR="00FE3DBD">
        <w:t xml:space="preserve">In Dallas, </w:t>
      </w:r>
      <w:r w:rsidR="00FE3DBD">
        <w:lastRenderedPageBreak/>
        <w:t>it recorded the drastic change after one of three providers closed; wait times of 5 days or less</w:t>
      </w:r>
      <w:r w:rsidR="004A0A09">
        <w:t xml:space="preserve"> before closure</w:t>
      </w:r>
      <w:r w:rsidR="00FE3DBD">
        <w:t xml:space="preserve"> increasing to as much as 20 days.</w:t>
      </w:r>
      <w:r w:rsidR="00FE3DBD">
        <w:rPr>
          <w:rStyle w:val="FootnoteReference"/>
        </w:rPr>
        <w:footnoteReference w:id="51"/>
      </w:r>
      <w:r w:rsidR="00FE3DBD">
        <w:t xml:space="preserve"> </w:t>
      </w:r>
      <w:r w:rsidR="00883528">
        <w:t xml:space="preserve">In contrast, Houston, with six open clinics, </w:t>
      </w:r>
      <w:r w:rsidR="004A0A09">
        <w:t xml:space="preserve">consistently </w:t>
      </w:r>
      <w:r w:rsidR="00883528">
        <w:t>averages less than five days.</w:t>
      </w:r>
      <w:r w:rsidR="004F06DE">
        <w:t xml:space="preserve"> </w:t>
      </w:r>
      <w:r w:rsidR="004B635E">
        <w:t>This evidence shows that the lack of providers resulting from the H.B</w:t>
      </w:r>
      <w:r w:rsidR="00F56D54">
        <w:t>.</w:t>
      </w:r>
      <w:r w:rsidR="004B635E">
        <w:t xml:space="preserve"> 2 closures puts a strain on the</w:t>
      </w:r>
      <w:r w:rsidR="004E25D8">
        <w:t xml:space="preserve"> remaining</w:t>
      </w:r>
      <w:r w:rsidR="004B635E">
        <w:t xml:space="preserve"> clinic</w:t>
      </w:r>
      <w:r w:rsidR="004E25D8">
        <w:t>s</w:t>
      </w:r>
      <w:r w:rsidR="004B635E">
        <w:t xml:space="preserve"> and </w:t>
      </w:r>
      <w:r w:rsidR="004E25D8">
        <w:t>puts an obstacle in the path of the women who desires an abortion.</w:t>
      </w:r>
    </w:p>
    <w:p w14:paraId="2658295B" w14:textId="0A63220F" w:rsidR="00D90D48" w:rsidRDefault="00937F6A" w:rsidP="0006795A">
      <w:pPr>
        <w:spacing w:line="480" w:lineRule="auto"/>
      </w:pPr>
      <w:r>
        <w:tab/>
        <w:t>The longer a woman waits</w:t>
      </w:r>
      <w:r w:rsidR="00237A2E">
        <w:t xml:space="preserve"> to obtain an abortion</w:t>
      </w:r>
      <w:r>
        <w:t xml:space="preserve">, the closer she is pushed into the second trimester. </w:t>
      </w:r>
      <w:r w:rsidR="00CE4A7A">
        <w:t>This</w:t>
      </w:r>
      <w:r w:rsidR="00FB020E">
        <w:t xml:space="preserve"> in</w:t>
      </w:r>
      <w:r w:rsidR="00CE4A7A">
        <w:t>creases the danger to her health,</w:t>
      </w:r>
      <w:r w:rsidR="00FB020E">
        <w:t xml:space="preserve"> substantially increases the cost of the abortion</w:t>
      </w:r>
      <w:r w:rsidR="00CE4A7A">
        <w:t>, or prevents her from having an abortion all together</w:t>
      </w:r>
      <w:r w:rsidR="00FB020E">
        <w:t xml:space="preserve">. </w:t>
      </w:r>
      <w:r w:rsidR="00AF413E">
        <w:t xml:space="preserve">In 2011, </w:t>
      </w:r>
      <w:r w:rsidR="00726CE2">
        <w:t>a</w:t>
      </w:r>
      <w:r w:rsidR="00AF413E">
        <w:t>n abortion at ten weeks averaged</w:t>
      </w:r>
      <w:r w:rsidR="00726CE2">
        <w:t xml:space="preserve"> </w:t>
      </w:r>
      <w:r w:rsidR="004C6F0B">
        <w:t xml:space="preserve">around $450, </w:t>
      </w:r>
      <w:r w:rsidR="00AF413E">
        <w:t xml:space="preserve">but </w:t>
      </w:r>
      <w:r w:rsidR="00C025D0">
        <w:t>the cost</w:t>
      </w:r>
      <w:r w:rsidR="00CE4A7A">
        <w:t xml:space="preserve"> steadily</w:t>
      </w:r>
      <w:r w:rsidR="00AF413E">
        <w:t xml:space="preserve"> increases as time goes on; and t</w:t>
      </w:r>
      <w:r w:rsidR="00CE4A7A">
        <w:t xml:space="preserve">he </w:t>
      </w:r>
      <w:r w:rsidR="002D7FFD">
        <w:t>average cost of an a</w:t>
      </w:r>
      <w:r w:rsidR="00AF413E">
        <w:t>bortion at 20 weeks was</w:t>
      </w:r>
      <w:r w:rsidR="002D7FFD">
        <w:t xml:space="preserve"> $1,500.</w:t>
      </w:r>
      <w:r w:rsidR="002D7FFD">
        <w:rPr>
          <w:rStyle w:val="FootnoteReference"/>
        </w:rPr>
        <w:footnoteReference w:id="52"/>
      </w:r>
      <w:r w:rsidR="000B7EA2">
        <w:t xml:space="preserve"> </w:t>
      </w:r>
      <w:r w:rsidR="00DE290D">
        <w:t>However, if a woman in Texas was forced to wai</w:t>
      </w:r>
      <w:r w:rsidR="0006795A">
        <w:t xml:space="preserve">t too long and was pushed to twenty </w:t>
      </w:r>
      <w:r w:rsidR="00DE290D">
        <w:t>weeks, she would be u</w:t>
      </w:r>
      <w:r w:rsidR="00830D00">
        <w:t>nable to seek a legal procedure</w:t>
      </w:r>
      <w:r w:rsidR="00DE290D">
        <w:t xml:space="preserve"> </w:t>
      </w:r>
      <w:r w:rsidR="004E0224">
        <w:t>at all</w:t>
      </w:r>
      <w:r w:rsidR="0006795A">
        <w:t xml:space="preserve"> as Texas bans abortions after twenty weeks</w:t>
      </w:r>
      <w:r w:rsidR="004E0224">
        <w:t xml:space="preserve">. </w:t>
      </w:r>
    </w:p>
    <w:p w14:paraId="58C14FA3" w14:textId="4C8BCCBB" w:rsidR="00EB0383" w:rsidRDefault="00E55980" w:rsidP="00F618B4">
      <w:pPr>
        <w:spacing w:line="480" w:lineRule="auto"/>
        <w:ind w:firstLine="720"/>
      </w:pPr>
      <w:r>
        <w:t>Ultimately, t</w:t>
      </w:r>
      <w:r w:rsidR="0029642D">
        <w:t>he 5</w:t>
      </w:r>
      <w:r w:rsidR="0029642D" w:rsidRPr="0029642D">
        <w:rPr>
          <w:vertAlign w:val="superscript"/>
        </w:rPr>
        <w:t>th</w:t>
      </w:r>
      <w:r w:rsidR="0029642D">
        <w:t xml:space="preserve"> Circuit</w:t>
      </w:r>
      <w:r w:rsidR="00D90D48">
        <w:t xml:space="preserve"> avoids the topic of the women at hand in </w:t>
      </w:r>
      <w:r w:rsidR="00D90D48">
        <w:rPr>
          <w:i/>
        </w:rPr>
        <w:t>Cole</w:t>
      </w:r>
      <w:r w:rsidR="00D90D48">
        <w:t>,</w:t>
      </w:r>
      <w:r w:rsidR="0029642D">
        <w:t xml:space="preserve"> </w:t>
      </w:r>
      <w:r w:rsidR="00D90D48">
        <w:t>spending</w:t>
      </w:r>
      <w:r w:rsidR="00851290">
        <w:t xml:space="preserve"> most of its decision providing legal invalidations for the Plaintiff’s claims and actions</w:t>
      </w:r>
      <w:r>
        <w:t xml:space="preserve"> and nit-picking the rules of facial and as-applied challenges</w:t>
      </w:r>
      <w:r w:rsidR="00851290">
        <w:t xml:space="preserve">, using its own decisions and loose interpretations of </w:t>
      </w:r>
      <w:r w:rsidR="00851290">
        <w:rPr>
          <w:i/>
        </w:rPr>
        <w:t>Casey.</w:t>
      </w:r>
      <w:r w:rsidR="00D90D48">
        <w:rPr>
          <w:i/>
        </w:rPr>
        <w:t xml:space="preserve"> </w:t>
      </w:r>
      <w:r w:rsidR="00D90D48">
        <w:t>But</w:t>
      </w:r>
      <w:r w:rsidR="00851290">
        <w:rPr>
          <w:i/>
        </w:rPr>
        <w:t xml:space="preserve"> </w:t>
      </w:r>
      <w:r w:rsidR="00D90D48">
        <w:t>w</w:t>
      </w:r>
      <w:r w:rsidR="00791084">
        <w:t>hen</w:t>
      </w:r>
      <w:r w:rsidR="00851290">
        <w:t xml:space="preserve"> actually examining the two provisions, the panel spends the majority of its pages questioning the expert testimony of the Plaintiffs and replacing it with its own assumptions; while failing to take into acc</w:t>
      </w:r>
      <w:r w:rsidR="009E4E33">
        <w:t xml:space="preserve">ount the compounding effects of the provisions at hand and existing Texas abortion </w:t>
      </w:r>
      <w:r w:rsidR="00851290">
        <w:t xml:space="preserve">provisions. </w:t>
      </w:r>
      <w:r w:rsidR="00D90D48">
        <w:t>Not only does the Court attempt to view the provisions as individual void of the restriction-dense</w:t>
      </w:r>
      <w:r w:rsidR="009E4E33">
        <w:t xml:space="preserve"> legislative</w:t>
      </w:r>
      <w:r w:rsidR="00DF5BCE">
        <w:t xml:space="preserve"> context they exist in;</w:t>
      </w:r>
      <w:r w:rsidR="00D90D48">
        <w:t xml:space="preserve"> </w:t>
      </w:r>
      <w:r w:rsidR="00DF5BCE">
        <w:t xml:space="preserve">it provides only one acknowledgement of the quantifying effects and results </w:t>
      </w:r>
      <w:r w:rsidR="00F618B4">
        <w:t xml:space="preserve">of </w:t>
      </w:r>
      <w:r w:rsidR="00F618B4">
        <w:lastRenderedPageBreak/>
        <w:t xml:space="preserve">increased driving distances. </w:t>
      </w:r>
      <w:r w:rsidR="00746519">
        <w:t xml:space="preserve">The Circuit court’s dismissal of </w:t>
      </w:r>
      <w:r w:rsidR="008D6B33">
        <w:t xml:space="preserve">socioeconomic circumstances </w:t>
      </w:r>
      <w:r w:rsidR="00746519">
        <w:t>as a legitimate factor is odd; particularly in face of the facts that</w:t>
      </w:r>
      <w:r w:rsidR="008D6B33">
        <w:t xml:space="preserve"> </w:t>
      </w:r>
      <w:r w:rsidR="00DF6A5E">
        <w:t xml:space="preserve">Texas has an above-average poverty rate, </w:t>
      </w:r>
      <w:r w:rsidR="00F52AC6">
        <w:t xml:space="preserve">that </w:t>
      </w:r>
      <w:r w:rsidR="008D6B33">
        <w:t>women are more likely to live in poverty,</w:t>
      </w:r>
      <w:r w:rsidR="00B15F33">
        <w:t xml:space="preserve"> </w:t>
      </w:r>
      <w:r w:rsidR="00F52AC6">
        <w:t xml:space="preserve">and that </w:t>
      </w:r>
      <w:r w:rsidR="00746519">
        <w:t xml:space="preserve">low-income women seek abortions more often, </w:t>
      </w:r>
      <w:r w:rsidR="00F52AC6">
        <w:t xml:space="preserve">while being the ones most effected by regulations. </w:t>
      </w:r>
      <w:r w:rsidR="00D7177B">
        <w:t xml:space="preserve">In ignoring the differences that make the burden more substantial for some women than others, the judges </w:t>
      </w:r>
      <w:r w:rsidR="00F618B4">
        <w:t xml:space="preserve">fail to provide an accurate analysis of the law’s effect. </w:t>
      </w:r>
    </w:p>
    <w:p w14:paraId="2BCD231C" w14:textId="77777777" w:rsidR="00D7177B" w:rsidRDefault="00D7177B" w:rsidP="00EB0383">
      <w:pPr>
        <w:spacing w:line="480" w:lineRule="auto"/>
        <w:ind w:firstLine="720"/>
      </w:pPr>
    </w:p>
    <w:p w14:paraId="77D01B16" w14:textId="363A634F" w:rsidR="00D7177B" w:rsidRPr="00D7177B" w:rsidRDefault="00D7177B" w:rsidP="00D7177B">
      <w:pPr>
        <w:spacing w:line="480" w:lineRule="auto"/>
        <w:rPr>
          <w:b/>
        </w:rPr>
      </w:pPr>
      <w:r>
        <w:rPr>
          <w:b/>
        </w:rPr>
        <w:t>Hope Clinic for Women, Ltd. v. Flores</w:t>
      </w:r>
    </w:p>
    <w:p w14:paraId="52C14948" w14:textId="3F0974FD" w:rsidR="00F8209D" w:rsidRDefault="001157A6" w:rsidP="005C758D">
      <w:pPr>
        <w:spacing w:line="480" w:lineRule="auto"/>
        <w:ind w:firstLine="720"/>
      </w:pPr>
      <w:r>
        <w:t>A little over six percent of those seeking abortions each year</w:t>
      </w:r>
      <w:r w:rsidR="00C87933">
        <w:t xml:space="preserve"> in the United States</w:t>
      </w:r>
      <w:r>
        <w:t xml:space="preserve"> are girls under the age of eighteen.</w:t>
      </w:r>
      <w:r>
        <w:rPr>
          <w:rStyle w:val="FootnoteReference"/>
        </w:rPr>
        <w:footnoteReference w:id="53"/>
      </w:r>
      <w:r>
        <w:t xml:space="preserve"> </w:t>
      </w:r>
      <w:r w:rsidR="00E77F7E">
        <w:t>In the majority of states, these minor girls face parental notification or consent laws. Twenty-one states require at least one parent to consent,</w:t>
      </w:r>
      <w:r w:rsidR="00ED74B3">
        <w:t xml:space="preserve"> and</w:t>
      </w:r>
      <w:r w:rsidR="00E77F7E">
        <w:t xml:space="preserve"> three more require both parents. Another twelve require the parent to be notified of the procedure before hand; while another five states require both notification and consent.</w:t>
      </w:r>
      <w:r w:rsidR="009C23C4">
        <w:rPr>
          <w:rStyle w:val="FootnoteReference"/>
        </w:rPr>
        <w:footnoteReference w:id="54"/>
      </w:r>
      <w:r w:rsidR="00E77F7E">
        <w:t xml:space="preserve"> </w:t>
      </w:r>
    </w:p>
    <w:p w14:paraId="56D35E1C" w14:textId="692FFD6B" w:rsidR="00865A6A" w:rsidRDefault="00ED429E" w:rsidP="00F212D4">
      <w:pPr>
        <w:spacing w:line="480" w:lineRule="auto"/>
        <w:ind w:firstLine="720"/>
        <w:rPr>
          <w:rFonts w:cs="Helvetica"/>
          <w:color w:val="1C1C1C"/>
        </w:rPr>
      </w:pPr>
      <w:r>
        <w:t xml:space="preserve">The </w:t>
      </w:r>
      <w:r>
        <w:rPr>
          <w:i/>
        </w:rPr>
        <w:t xml:space="preserve">Casey </w:t>
      </w:r>
      <w:r>
        <w:t xml:space="preserve">court </w:t>
      </w:r>
      <w:r w:rsidR="00190C88">
        <w:t xml:space="preserve">ruled </w:t>
      </w:r>
      <w:r>
        <w:t>that a parental consent law did not constitute an undue burden if it provided a judicial bypass procedure.</w:t>
      </w:r>
      <w:r w:rsidR="00190C88">
        <w:t xml:space="preserve"> If a parent refuses to provide consent, “a court may authorize that the young woman is mature and capable of giving informed consent and has in fact given her informed consent, or that an abortion would be in her best interests.”</w:t>
      </w:r>
      <w:r w:rsidR="00C148EF">
        <w:rPr>
          <w:rStyle w:val="FootnoteReference"/>
        </w:rPr>
        <w:footnoteReference w:id="55"/>
      </w:r>
      <w:r w:rsidR="00190C88">
        <w:t xml:space="preserve"> </w:t>
      </w:r>
      <w:r>
        <w:t xml:space="preserve"> </w:t>
      </w:r>
      <w:r w:rsidR="00865A6A">
        <w:t>The Supreme Court has touched on parental notification</w:t>
      </w:r>
      <w:r w:rsidR="00F212D4">
        <w:t xml:space="preserve"> again</w:t>
      </w:r>
      <w:r w:rsidR="00865A6A">
        <w:t xml:space="preserve"> since </w:t>
      </w:r>
      <w:r w:rsidR="004809C0">
        <w:t xml:space="preserve">upholding it in </w:t>
      </w:r>
      <w:r w:rsidR="00865A6A">
        <w:rPr>
          <w:i/>
        </w:rPr>
        <w:t xml:space="preserve">Casey, </w:t>
      </w:r>
      <w:r w:rsidR="00865A6A">
        <w:t xml:space="preserve">but it has avoided making a full ruling on the issue. </w:t>
      </w:r>
      <w:r w:rsidR="00B11E01">
        <w:t xml:space="preserve">The 2006 case </w:t>
      </w:r>
      <w:r w:rsidR="00865A6A" w:rsidRPr="00F212D4">
        <w:rPr>
          <w:i/>
        </w:rPr>
        <w:t>Ayotte v. Planned Parenthood for Northern New En</w:t>
      </w:r>
      <w:r w:rsidR="00DA745E" w:rsidRPr="00F212D4">
        <w:rPr>
          <w:i/>
        </w:rPr>
        <w:t>gland</w:t>
      </w:r>
      <w:r w:rsidR="00DA745E">
        <w:t xml:space="preserve"> challenged</w:t>
      </w:r>
      <w:r w:rsidR="00865A6A">
        <w:t xml:space="preserve"> a law requiring doctors to notify at least one parent 48 hours before a minor’s abortion</w:t>
      </w:r>
      <w:r w:rsidR="009602F4">
        <w:t xml:space="preserve">, on the basis that it lacked a </w:t>
      </w:r>
      <w:r w:rsidR="009602F4">
        <w:lastRenderedPageBreak/>
        <w:t>“medical emergency exception.”</w:t>
      </w:r>
      <w:r w:rsidR="00865A6A">
        <w:rPr>
          <w:rStyle w:val="FootnoteReference"/>
        </w:rPr>
        <w:footnoteReference w:id="56"/>
      </w:r>
      <w:r w:rsidR="00B508BD">
        <w:t xml:space="preserve"> The Plaintiffs did not attempt to challenge the constitutionality posed by parental involvement laws in general.</w:t>
      </w:r>
      <w:r w:rsidR="00865A6A">
        <w:t xml:space="preserve"> </w:t>
      </w:r>
      <w:r w:rsidR="009602F4">
        <w:t xml:space="preserve">Both </w:t>
      </w:r>
      <w:r w:rsidR="003A4211">
        <w:t>the District Court and the First Circuit Court of Appeals held that an absence of the exception made the statute unconstitutional, rejecting the state’s suggestion that the Plaintiffs had no grounds to a facial challenge</w:t>
      </w:r>
      <w:r w:rsidR="00F13598">
        <w:t xml:space="preserve"> because the law had not been applied yet</w:t>
      </w:r>
      <w:r w:rsidR="003A4211">
        <w:t xml:space="preserve">. </w:t>
      </w:r>
      <w:r w:rsidR="00933EA0">
        <w:t>After the New Hampshire Attorney General</w:t>
      </w:r>
      <w:r w:rsidR="00B05521">
        <w:t xml:space="preserve"> appealed</w:t>
      </w:r>
      <w:r w:rsidR="00F13598">
        <w:t xml:space="preserve"> to it</w:t>
      </w:r>
      <w:r w:rsidR="00B05521">
        <w:t>, the Supreme Court</w:t>
      </w:r>
      <w:r w:rsidR="009A20B3">
        <w:t xml:space="preserve"> held first that the Plaintiffs did have a right to a facial challenge and that the lack of exception created unconstitutionality in a small number of cases. </w:t>
      </w:r>
      <w:r w:rsidR="00046884">
        <w:t xml:space="preserve">However, the Court refuses to strike down the entire statute on that basis, </w:t>
      </w:r>
      <w:r w:rsidR="00AF4DF6">
        <w:t xml:space="preserve">with the rationale that </w:t>
      </w:r>
      <w:r w:rsidR="00AF4DF6" w:rsidRPr="00AF4DF6">
        <w:rPr>
          <w:rFonts w:cs="Helvetica"/>
          <w:color w:val="1C1C1C"/>
        </w:rPr>
        <w:t>“lower courts may be able to render narrower de</w:t>
      </w:r>
      <w:r w:rsidR="009D5E3E">
        <w:rPr>
          <w:rFonts w:cs="Helvetica"/>
          <w:color w:val="1C1C1C"/>
        </w:rPr>
        <w:t>claratory and injunctive relief</w:t>
      </w:r>
      <w:r w:rsidR="00AF4DF6" w:rsidRPr="00AF4DF6">
        <w:rPr>
          <w:rFonts w:cs="Helvetica"/>
          <w:color w:val="1C1C1C"/>
        </w:rPr>
        <w:t>"</w:t>
      </w:r>
      <w:r w:rsidR="009D5E3E">
        <w:rPr>
          <w:rFonts w:cs="Helvetica"/>
          <w:color w:val="1C1C1C"/>
        </w:rPr>
        <w:t xml:space="preserve"> when only one segment of the law is deemed unconstitutional.</w:t>
      </w:r>
      <w:r w:rsidR="00AF4DF6">
        <w:rPr>
          <w:rStyle w:val="FootnoteReference"/>
          <w:rFonts w:cs="Helvetica"/>
          <w:color w:val="1C1C1C"/>
        </w:rPr>
        <w:footnoteReference w:id="57"/>
      </w:r>
      <w:r w:rsidR="009D5E3E">
        <w:rPr>
          <w:rFonts w:cs="Helvetica"/>
          <w:color w:val="1C1C1C"/>
        </w:rPr>
        <w:t xml:space="preserve"> </w:t>
      </w:r>
      <w:r w:rsidR="00B508BD">
        <w:rPr>
          <w:rFonts w:cs="Helvetica"/>
          <w:color w:val="1C1C1C"/>
        </w:rPr>
        <w:t xml:space="preserve">The Court remanded </w:t>
      </w:r>
      <w:r w:rsidR="009D5E3E">
        <w:rPr>
          <w:rFonts w:cs="Helvetica"/>
          <w:color w:val="1C1C1C"/>
        </w:rPr>
        <w:t>the case back down to the lower courts</w:t>
      </w:r>
      <w:r w:rsidR="00B508BD">
        <w:rPr>
          <w:rFonts w:cs="Helvetica"/>
          <w:color w:val="1C1C1C"/>
        </w:rPr>
        <w:t xml:space="preserve"> with the task of finding a possible judicial relief</w:t>
      </w:r>
      <w:r w:rsidR="00F7206C">
        <w:rPr>
          <w:rFonts w:cs="Helvetica"/>
          <w:color w:val="1C1C1C"/>
        </w:rPr>
        <w:t xml:space="preserve">; however the New Hampshire repealed the entire statue on its own before the courts </w:t>
      </w:r>
      <w:r w:rsidR="00264BA5">
        <w:rPr>
          <w:rFonts w:cs="Helvetica"/>
          <w:color w:val="1C1C1C"/>
        </w:rPr>
        <w:t xml:space="preserve">could attempt such an inquiry. </w:t>
      </w:r>
    </w:p>
    <w:p w14:paraId="4A4A2BB4" w14:textId="7EA14EF8" w:rsidR="004B3693" w:rsidRDefault="00A208B5" w:rsidP="005C758D">
      <w:pPr>
        <w:spacing w:line="480" w:lineRule="auto"/>
        <w:ind w:firstLine="720"/>
      </w:pPr>
      <w:r>
        <w:t>In 2013, a clinic in Illinois filed a lawsuit against the state, questioning the constitutionality of the Parental Notice of Abortion Act of 1995. It required minor girls seeing an abortion to disclose their plan forty-eight hours before the procedure to an adult family member. It allowed exceptions to be granted under judicial bypass or with a written statement by the girl disclosing sexual, physical abuse or neglect.</w:t>
      </w:r>
      <w:r w:rsidR="00F73E31">
        <w:rPr>
          <w:rStyle w:val="FootnoteReference"/>
        </w:rPr>
        <w:footnoteReference w:id="58"/>
      </w:r>
      <w:r>
        <w:t xml:space="preserve"> </w:t>
      </w:r>
      <w:r w:rsidR="00F14426">
        <w:t xml:space="preserve">In its ruling, </w:t>
      </w:r>
      <w:r w:rsidR="007C3585">
        <w:t xml:space="preserve">The </w:t>
      </w:r>
      <w:r w:rsidR="00F14426">
        <w:t>Illinois State Supreme Court held the Act to be constitutional. Its rationale was that the state had a legitimate interest in “encouraging an unmarried, pregnant minor to seek the help and advice of a parent or other adult family member in making the very important decision</w:t>
      </w:r>
      <w:r w:rsidR="00DC7EC3">
        <w:t xml:space="preserve"> </w:t>
      </w:r>
      <w:r w:rsidR="00DC7EC3">
        <w:lastRenderedPageBreak/>
        <w:t>whether or not to bear a child</w:t>
      </w:r>
      <w:r w:rsidR="00F14426">
        <w:t>”</w:t>
      </w:r>
      <w:r w:rsidR="00DC7EC3">
        <w:t xml:space="preserve"> and that the impact on the minor’s privacy was not enough to constitute an undue burden.</w:t>
      </w:r>
      <w:r w:rsidR="00F14426">
        <w:rPr>
          <w:rStyle w:val="FootnoteReference"/>
        </w:rPr>
        <w:footnoteReference w:id="59"/>
      </w:r>
      <w:r w:rsidR="00F14426">
        <w:t xml:space="preserve"> </w:t>
      </w:r>
    </w:p>
    <w:p w14:paraId="097A1C66" w14:textId="43003C7C" w:rsidR="00903C5A" w:rsidRDefault="00DC7EC3" w:rsidP="006A2DF8">
      <w:pPr>
        <w:spacing w:line="480" w:lineRule="auto"/>
        <w:ind w:firstLine="720"/>
      </w:pPr>
      <w:r>
        <w:t>First</w:t>
      </w:r>
      <w:r w:rsidR="00D43E9C">
        <w:t>,</w:t>
      </w:r>
      <w:r>
        <w:t xml:space="preserve"> the Court erred in calling the Illinois Act an </w:t>
      </w:r>
      <w:r w:rsidR="0035575A">
        <w:t>‘</w:t>
      </w:r>
      <w:r>
        <w:t>encouragement’</w:t>
      </w:r>
      <w:r w:rsidR="004B3693">
        <w:t xml:space="preserve"> and downplaying the coercion involved in the Act</w:t>
      </w:r>
      <w:r>
        <w:t xml:space="preserve">. </w:t>
      </w:r>
      <w:r w:rsidR="004944A6">
        <w:t xml:space="preserve">The Act does not simply suggest that minors disclose their abortion to their parents or guardians, it forces them to. </w:t>
      </w:r>
      <w:r w:rsidR="00D43E9C">
        <w:t xml:space="preserve">Second, the Court errs in </w:t>
      </w:r>
      <w:r w:rsidR="0011716E">
        <w:t>assuming that it would be in the girls’ best interest to disclose her abortion to the adults in her life and that the decision needed to be made in collusion with other</w:t>
      </w:r>
      <w:r w:rsidR="00A802DC">
        <w:t>s</w:t>
      </w:r>
      <w:r w:rsidR="0011716E">
        <w:t>. The Court repeatedly relies on subjective assumptions regarding women who obtain abortions in its justification of the need for parental involvement</w:t>
      </w:r>
      <w:r w:rsidR="00A802DC">
        <w:t>, calling it a choice with potentially serious consequences</w:t>
      </w:r>
      <w:r w:rsidR="00C87F49">
        <w:t>, more so than carrying a child to term</w:t>
      </w:r>
      <w:r w:rsidR="0011716E">
        <w:t>.</w:t>
      </w:r>
      <w:r w:rsidR="00934130">
        <w:rPr>
          <w:rStyle w:val="FootnoteReference"/>
        </w:rPr>
        <w:footnoteReference w:id="60"/>
      </w:r>
      <w:r w:rsidR="0011716E">
        <w:t xml:space="preserve"> </w:t>
      </w:r>
      <w:r w:rsidR="00060A7F">
        <w:t>The ruling sees abortion as a difficult and severe decision with life-long consequences that requires a certain level of maturity; yet declines to admit the life-long consequences associating with</w:t>
      </w:r>
      <w:r w:rsidR="00A03CD1">
        <w:t xml:space="preserve"> childbirth. It even includes an ideologically heavy quote from a 1981 Supreme Court case upholding Utah’s notification law as precedent, that “if the pregnant girl elects to carry her child to term, the medical decisions to be made entail few-perhaps none-of the potentially grave emotional and psychological consequences of the decision to abort.”</w:t>
      </w:r>
      <w:r w:rsidR="00A03CD1">
        <w:rPr>
          <w:rStyle w:val="FootnoteReference"/>
        </w:rPr>
        <w:footnoteReference w:id="61"/>
      </w:r>
      <w:r w:rsidR="00D5509C">
        <w:t xml:space="preserve"> </w:t>
      </w:r>
      <w:r w:rsidR="00294F50">
        <w:t>The Court does not quote studi</w:t>
      </w:r>
      <w:r w:rsidR="0047579E">
        <w:t>es that find that the overwhelmingly</w:t>
      </w:r>
      <w:r w:rsidR="00294F50">
        <w:t xml:space="preserve"> most common reaction following an </w:t>
      </w:r>
      <w:r w:rsidR="00294F50">
        <w:lastRenderedPageBreak/>
        <w:t>abortion was relief.</w:t>
      </w:r>
      <w:r w:rsidR="00294F50">
        <w:rPr>
          <w:rStyle w:val="FootnoteReference"/>
        </w:rPr>
        <w:footnoteReference w:id="62"/>
      </w:r>
      <w:r w:rsidR="00C87F49">
        <w:t xml:space="preserve"> Nor does it cite evidence that abortion is fourteen times safer than childbirth.</w:t>
      </w:r>
      <w:r w:rsidR="00C87F49">
        <w:rPr>
          <w:rStyle w:val="FootnoteReference"/>
        </w:rPr>
        <w:footnoteReference w:id="63"/>
      </w:r>
    </w:p>
    <w:p w14:paraId="4E901B06" w14:textId="7263422E" w:rsidR="004E46A9" w:rsidRPr="004E46A9" w:rsidRDefault="004B3693" w:rsidP="00E37E98">
      <w:pPr>
        <w:spacing w:line="480" w:lineRule="auto"/>
        <w:ind w:firstLine="720"/>
      </w:pPr>
      <w:r>
        <w:t xml:space="preserve">Further, </w:t>
      </w:r>
      <w:r w:rsidR="0011716E">
        <w:t xml:space="preserve">it fails to recognize the legitimate </w:t>
      </w:r>
      <w:r w:rsidR="00A802DC">
        <w:t xml:space="preserve">reasons why </w:t>
      </w:r>
      <w:r w:rsidR="00934130">
        <w:t xml:space="preserve">the law would constitute an undue burden for the minors affected by it. </w:t>
      </w:r>
      <w:r w:rsidR="001157A6">
        <w:t xml:space="preserve">Studies </w:t>
      </w:r>
      <w:r w:rsidR="00EB0383">
        <w:t xml:space="preserve">have shown that even without parental involvement laws, about sixty percent of </w:t>
      </w:r>
      <w:r w:rsidR="001157A6">
        <w:t xml:space="preserve">those </w:t>
      </w:r>
      <w:r w:rsidR="00EB0383">
        <w:t xml:space="preserve">minors </w:t>
      </w:r>
      <w:r w:rsidR="00207807">
        <w:t xml:space="preserve">involve at least one parent in their </w:t>
      </w:r>
      <w:r w:rsidR="001974A4">
        <w:t>decision.</w:t>
      </w:r>
      <w:r w:rsidR="001974A4">
        <w:rPr>
          <w:rStyle w:val="FootnoteReference"/>
        </w:rPr>
        <w:footnoteReference w:id="64"/>
      </w:r>
      <w:r w:rsidR="00EF0A08">
        <w:t xml:space="preserve"> </w:t>
      </w:r>
      <w:r w:rsidR="007C3585">
        <w:t>But i</w:t>
      </w:r>
      <w:r w:rsidR="00EF0A08">
        <w:t>t is the ones who don’t engage their parents on their own, the ones who must be compe</w:t>
      </w:r>
      <w:r w:rsidR="001157A6">
        <w:t xml:space="preserve">lled, that mark the start of a </w:t>
      </w:r>
      <w:r w:rsidR="00EF0A08">
        <w:t xml:space="preserve">constitutional analysis. </w:t>
      </w:r>
      <w:r w:rsidR="00DD4430">
        <w:t xml:space="preserve">This type of examination comes from </w:t>
      </w:r>
      <w:r w:rsidR="00DD4430">
        <w:rPr>
          <w:i/>
        </w:rPr>
        <w:t xml:space="preserve">Casey’s </w:t>
      </w:r>
      <w:r w:rsidR="00DD4430">
        <w:t>invalidation of the spousal notification; in which the Court ruled</w:t>
      </w:r>
      <w:r w:rsidR="00F8209D">
        <w:t xml:space="preserve"> that for the ninety-five percent of married women seeking abortions who voluntarily tell their husbands, the provision is not relevant and therefore, those women should not be included in the analysis.</w:t>
      </w:r>
      <w:r w:rsidR="004665D3">
        <w:rPr>
          <w:rStyle w:val="FootnoteReference"/>
        </w:rPr>
        <w:footnoteReference w:id="65"/>
      </w:r>
      <w:r w:rsidR="00294EF2">
        <w:t xml:space="preserve"> </w:t>
      </w:r>
      <w:r w:rsidR="006F69D3">
        <w:t xml:space="preserve">And as </w:t>
      </w:r>
      <w:r w:rsidR="006F69D3">
        <w:rPr>
          <w:i/>
        </w:rPr>
        <w:t xml:space="preserve">Casey </w:t>
      </w:r>
      <w:r w:rsidR="006F69D3">
        <w:t xml:space="preserve">rationalized with the spousal notification, it is those who are most affected by the law that “are in the gravest danger”. </w:t>
      </w:r>
      <w:r w:rsidR="004E46A9">
        <w:t xml:space="preserve">The </w:t>
      </w:r>
      <w:r w:rsidR="004E46A9">
        <w:rPr>
          <w:i/>
        </w:rPr>
        <w:t xml:space="preserve">Casey </w:t>
      </w:r>
      <w:r w:rsidR="004E46A9">
        <w:t xml:space="preserve">Court acknowledged that </w:t>
      </w:r>
      <w:r w:rsidR="00D31ACF">
        <w:t>children are often subject to domestic violence.</w:t>
      </w:r>
      <w:r w:rsidR="005C758D">
        <w:t xml:space="preserve"> </w:t>
      </w:r>
      <w:r w:rsidR="00AD52D6">
        <w:t>In fact, half of pregnant teens who have been abused in the past report being assaulted during pregnancy. Another study found that thirty percent of girls who forego telling a parent about their abortion</w:t>
      </w:r>
      <w:r w:rsidR="00720D4E">
        <w:t xml:space="preserve"> had experienced violence in their home.</w:t>
      </w:r>
      <w:r w:rsidR="00720D4E">
        <w:rPr>
          <w:rStyle w:val="FootnoteReference"/>
        </w:rPr>
        <w:footnoteReference w:id="66"/>
      </w:r>
    </w:p>
    <w:p w14:paraId="330C07A0" w14:textId="16C72F03" w:rsidR="00B743B5" w:rsidRDefault="006A2DF8" w:rsidP="00E37E98">
      <w:pPr>
        <w:spacing w:line="480" w:lineRule="auto"/>
        <w:ind w:firstLine="720"/>
      </w:pPr>
      <w:r>
        <w:t xml:space="preserve">Lastly, the court fails to see how seeking a judicial bypass may be a substantial obstacle for a minor. Girls have to find transportation and time to reach a court in secret, </w:t>
      </w:r>
      <w:r>
        <w:lastRenderedPageBreak/>
        <w:t xml:space="preserve">and once there they are subjected to the arbitrary decisions of a judge. The law requires that the judge decide on one of two points, that the girl is mature enough to make the abortion decision on her own or that it is in her best interest in forego telling her parent or guardian. </w:t>
      </w:r>
      <w:r w:rsidR="005C638D">
        <w:t xml:space="preserve">While purporting to provide girls relief from potentially abusive or dangerous situations that </w:t>
      </w:r>
      <w:r w:rsidR="00417450">
        <w:t>would restrict their choice, the judicial byp</w:t>
      </w:r>
      <w:r w:rsidR="00592A9C">
        <w:t>ass still imposes the will of</w:t>
      </w:r>
      <w:r w:rsidR="00417450">
        <w:t xml:space="preserve"> someone else on the girl’s decision. </w:t>
      </w:r>
      <w:r w:rsidR="00D31ACF">
        <w:t xml:space="preserve">As </w:t>
      </w:r>
      <w:r w:rsidR="00D31ACF">
        <w:rPr>
          <w:i/>
        </w:rPr>
        <w:t xml:space="preserve">Casey </w:t>
      </w:r>
      <w:r w:rsidR="00D31ACF">
        <w:t>mentions, “secrecy typically shrouds abusive families.”</w:t>
      </w:r>
      <w:r w:rsidR="009B5AC6">
        <w:rPr>
          <w:rStyle w:val="FootnoteReference"/>
        </w:rPr>
        <w:footnoteReference w:id="67"/>
      </w:r>
      <w:r w:rsidR="00D31ACF">
        <w:t xml:space="preserve"> It rejected the bypass given to married women, saying that it forced them to disclose their most intimate details. The parental notification</w:t>
      </w:r>
      <w:r w:rsidR="00457D97">
        <w:t xml:space="preserve"> law works the same way</w:t>
      </w:r>
      <w:r w:rsidR="00D31ACF">
        <w:t xml:space="preserve">, girls must </w:t>
      </w:r>
      <w:r w:rsidR="0016602D">
        <w:t xml:space="preserve">disclose </w:t>
      </w:r>
      <w:r w:rsidR="00D31ACF">
        <w:t xml:space="preserve">their abuse </w:t>
      </w:r>
      <w:r w:rsidR="0016602D">
        <w:t xml:space="preserve">to a stranger </w:t>
      </w:r>
      <w:r w:rsidR="00D31ACF">
        <w:t xml:space="preserve">in order to be granted a bypass. </w:t>
      </w:r>
      <w:r w:rsidR="00217A27">
        <w:t>Why the courts have found this to not resemble the rules of the unconstitutional spousal notification is troublesome. Even judges in Illinois have questioned the fairness of these petitions, calling them “demeaning and difficult for the young women.”</w:t>
      </w:r>
      <w:r w:rsidR="00217A27">
        <w:rPr>
          <w:rStyle w:val="FootnoteReference"/>
        </w:rPr>
        <w:footnoteReference w:id="68"/>
      </w:r>
      <w:r w:rsidR="00217A27">
        <w:t xml:space="preserve"> </w:t>
      </w:r>
    </w:p>
    <w:p w14:paraId="4995998D" w14:textId="77777777" w:rsidR="00720D4E" w:rsidRDefault="00720D4E" w:rsidP="00AB6C28">
      <w:pPr>
        <w:spacing w:line="480" w:lineRule="auto"/>
        <w:rPr>
          <w:b/>
        </w:rPr>
      </w:pPr>
    </w:p>
    <w:p w14:paraId="64B1D026" w14:textId="26E2103C" w:rsidR="00BC243A" w:rsidRPr="00720D4E" w:rsidRDefault="00720D4E" w:rsidP="00AB6C28">
      <w:pPr>
        <w:spacing w:line="480" w:lineRule="auto"/>
        <w:rPr>
          <w:b/>
        </w:rPr>
      </w:pPr>
      <w:r w:rsidRPr="00720D4E">
        <w:rPr>
          <w:b/>
        </w:rPr>
        <w:t xml:space="preserve">Conclusion </w:t>
      </w:r>
    </w:p>
    <w:p w14:paraId="148B3100" w14:textId="145EF3AB" w:rsidR="00BC243A" w:rsidRDefault="00BC243A" w:rsidP="00AB6C28">
      <w:pPr>
        <w:spacing w:line="480" w:lineRule="auto"/>
      </w:pPr>
      <w:r>
        <w:tab/>
        <w:t>As shown by the 5</w:t>
      </w:r>
      <w:r w:rsidRPr="00BC243A">
        <w:rPr>
          <w:vertAlign w:val="superscript"/>
        </w:rPr>
        <w:t>th</w:t>
      </w:r>
      <w:r>
        <w:t xml:space="preserve"> Circuit and the Illinois State Supreme Court, judges do not always understand the lives of the women their ruling will affect. In ruling on the constitutionality of regulations, judges sometimes forget the unique circumstances that make an inconvenience for some a life-threatening burden to others. Judges must look beyond their own privileged scope of the world and recognize </w:t>
      </w:r>
      <w:r w:rsidR="00720D4E">
        <w:t xml:space="preserve">that a regulation must be evaluated on how it will effect those most vulnerable to it, not those with the resources and means to avoid it. </w:t>
      </w:r>
    </w:p>
    <w:p w14:paraId="6E4266F3" w14:textId="31B23F44" w:rsidR="00D55FCA" w:rsidRDefault="00D55FCA" w:rsidP="00F67FA7">
      <w:pPr>
        <w:spacing w:line="480" w:lineRule="auto"/>
      </w:pPr>
    </w:p>
    <w:p w14:paraId="6E024D99" w14:textId="77777777" w:rsidR="00BC243A" w:rsidRDefault="00BC243A" w:rsidP="00BC243A">
      <w:pPr>
        <w:jc w:val="center"/>
        <w:rPr>
          <w:sz w:val="28"/>
          <w:szCs w:val="28"/>
        </w:rPr>
      </w:pPr>
      <w:r w:rsidRPr="00D9493F">
        <w:rPr>
          <w:sz w:val="28"/>
          <w:szCs w:val="28"/>
        </w:rPr>
        <w:t>Bibliography</w:t>
      </w:r>
    </w:p>
    <w:p w14:paraId="6967EAD4" w14:textId="77777777" w:rsidR="00BC243A" w:rsidRDefault="00BC243A" w:rsidP="00BC243A">
      <w:pPr>
        <w:jc w:val="center"/>
        <w:rPr>
          <w:sz w:val="28"/>
          <w:szCs w:val="28"/>
        </w:rPr>
      </w:pPr>
    </w:p>
    <w:p w14:paraId="52A8B7C8" w14:textId="77777777" w:rsidR="00BC243A" w:rsidRDefault="00BC243A" w:rsidP="00BC243A">
      <w:pPr>
        <w:rPr>
          <w:sz w:val="28"/>
          <w:szCs w:val="28"/>
        </w:rPr>
      </w:pPr>
    </w:p>
    <w:p w14:paraId="2D9F5BA8" w14:textId="77777777" w:rsidR="00BC243A" w:rsidRDefault="00BC243A" w:rsidP="00BC243A">
      <w:r w:rsidRPr="006B4F39">
        <w:rPr>
          <w:i/>
        </w:rPr>
        <w:t>Abbott v. Planned Parenthood</w:t>
      </w:r>
      <w:r>
        <w:rPr>
          <w:i/>
        </w:rPr>
        <w:t>,</w:t>
      </w:r>
      <w:r w:rsidRPr="006B4F39">
        <w:rPr>
          <w:i/>
        </w:rPr>
        <w:t xml:space="preserve"> </w:t>
      </w:r>
      <w:r>
        <w:t>748 F.3d (2014</w:t>
      </w:r>
      <w:r w:rsidRPr="006B4F39">
        <w:t>)</w:t>
      </w:r>
    </w:p>
    <w:p w14:paraId="558C1A5D" w14:textId="77777777" w:rsidR="00BC243A" w:rsidRDefault="00BC243A" w:rsidP="00BC243A"/>
    <w:p w14:paraId="7ADC55EC" w14:textId="77777777" w:rsidR="00BC243A" w:rsidRPr="00134DE5" w:rsidRDefault="00BC243A" w:rsidP="00BC243A">
      <w:r>
        <w:rPr>
          <w:i/>
        </w:rPr>
        <w:t xml:space="preserve">Ayotte v. Planned Parenthood, </w:t>
      </w:r>
      <w:r>
        <w:t>546 U.S. 320 (2006)</w:t>
      </w:r>
    </w:p>
    <w:p w14:paraId="71D92D67" w14:textId="77777777" w:rsidR="00BC243A" w:rsidRDefault="00BC243A" w:rsidP="00BC243A">
      <w:pPr>
        <w:rPr>
          <w:sz w:val="28"/>
          <w:szCs w:val="28"/>
        </w:rPr>
      </w:pPr>
    </w:p>
    <w:p w14:paraId="33AFAD33" w14:textId="77777777" w:rsidR="00BC243A" w:rsidRDefault="00BC243A" w:rsidP="00BC243A">
      <w:r>
        <w:t xml:space="preserve">“Abortion Wait Times in Texas: The Shrinking Capacity of Facilities and the Potential Impact of Closing Non-ASC Clinics.” The Texas Policy Evaluation Project, University of Texas, 2015. </w:t>
      </w:r>
    </w:p>
    <w:p w14:paraId="75943CD7" w14:textId="77777777" w:rsidR="00BC243A" w:rsidRPr="00134DE5" w:rsidRDefault="00BC243A" w:rsidP="00BC243A"/>
    <w:p w14:paraId="52EEF09A" w14:textId="77777777" w:rsidR="00BC243A" w:rsidRDefault="00BC243A" w:rsidP="00BC243A">
      <w:r w:rsidRPr="006B4F39">
        <w:t xml:space="preserve">Ahmed, Aziza. “Informed Decision Making and Abortion: Crisis Pregnancy Centers, Informed Consent, and the First Amendment.” </w:t>
      </w:r>
      <w:r w:rsidRPr="006B4F39">
        <w:rPr>
          <w:i/>
        </w:rPr>
        <w:t xml:space="preserve">Journal for Law, Medicine, and Ethics </w:t>
      </w:r>
      <w:r w:rsidRPr="006B4F39">
        <w:t xml:space="preserve">43, no. 1 (2015): 51-58.  </w:t>
      </w:r>
    </w:p>
    <w:p w14:paraId="33911E63" w14:textId="77777777" w:rsidR="00BC243A" w:rsidRDefault="00BC243A" w:rsidP="00BC243A"/>
    <w:p w14:paraId="614778A8" w14:textId="77777777" w:rsidR="00BC243A" w:rsidRPr="0035763A" w:rsidRDefault="00BC243A" w:rsidP="00BC243A">
      <w:r>
        <w:t xml:space="preserve">Brotman, Barbara. “How young women in Illinois get abortion without parental notification.” </w:t>
      </w:r>
      <w:r>
        <w:rPr>
          <w:i/>
        </w:rPr>
        <w:t xml:space="preserve">Chicago Tribune, </w:t>
      </w:r>
      <w:r>
        <w:t xml:space="preserve">October 9, 2015. </w:t>
      </w:r>
    </w:p>
    <w:p w14:paraId="0DECA3D2" w14:textId="77777777" w:rsidR="00BC243A" w:rsidRDefault="00BC243A" w:rsidP="00BC243A"/>
    <w:p w14:paraId="4A555A26" w14:textId="77777777" w:rsidR="00BC243A" w:rsidRDefault="00BC243A" w:rsidP="00BC243A">
      <w:r>
        <w:t xml:space="preserve">Camp, Sharon. “Parental Involvement Laws have no effect on Abrotion Rates.” RH Reality Check, 2008. </w:t>
      </w:r>
      <w:r w:rsidRPr="001974A4">
        <w:t>http://rhrealitycheck.org/article/2008/10/24/parental-involvement-laws-have-no-effect-abortion-rates/</w:t>
      </w:r>
    </w:p>
    <w:p w14:paraId="477039BF" w14:textId="77777777" w:rsidR="00BC243A" w:rsidRDefault="00BC243A" w:rsidP="00BC243A"/>
    <w:p w14:paraId="37643B57" w14:textId="77777777" w:rsidR="00BC243A" w:rsidRPr="006B4F39" w:rsidRDefault="00BC243A" w:rsidP="00BC243A">
      <w:r>
        <w:t>Center for Reproductive Rights. “Whole Woman’s Health v. Cole.” Center for Reproductive Rights, 2015, &lt;/</w:t>
      </w:r>
      <w:r w:rsidRPr="00D56B0B">
        <w:t>http://www.reproductiverights.org/case/whole-womans-health-v-cole</w:t>
      </w:r>
      <w:r>
        <w:t>.&gt;</w:t>
      </w:r>
    </w:p>
    <w:p w14:paraId="1B45421D" w14:textId="77777777" w:rsidR="00BC243A" w:rsidRDefault="00BC243A" w:rsidP="00BC243A"/>
    <w:p w14:paraId="4B060D47" w14:textId="77777777" w:rsidR="00BC243A" w:rsidRDefault="00BC243A" w:rsidP="00BC243A">
      <w:r>
        <w:t xml:space="preserve">Fund Texas Women. “Texas Abortion Clinic Map,” Fund Texas Women, 2015, </w:t>
      </w:r>
      <w:hyperlink r:id="rId7" w:history="1">
        <w:r w:rsidRPr="00B11E99">
          <w:rPr>
            <w:rStyle w:val="Hyperlink"/>
          </w:rPr>
          <w:t>http://fundtexaschoice.org/resources/texas-abortion-clinic-map/</w:t>
        </w:r>
      </w:hyperlink>
    </w:p>
    <w:p w14:paraId="42384638" w14:textId="77777777" w:rsidR="00BC243A" w:rsidRDefault="00BC243A" w:rsidP="00BC243A"/>
    <w:p w14:paraId="03EA9BA1" w14:textId="77777777" w:rsidR="00BC243A" w:rsidRPr="00134DE5" w:rsidRDefault="00BC243A" w:rsidP="00BC243A">
      <w:pPr>
        <w:rPr>
          <w:color w:val="0000FF" w:themeColor="hyperlink"/>
          <w:u w:val="single"/>
        </w:rPr>
      </w:pPr>
      <w:r w:rsidRPr="006B4F39">
        <w:t xml:space="preserve">Heather Boonstra and Elizabeth Nash. “A Surge of State Abortion Restrictions Puts Providers and the Women They Serve in the Crosshairs.” </w:t>
      </w:r>
      <w:r w:rsidRPr="006B4F39">
        <w:rPr>
          <w:i/>
        </w:rPr>
        <w:t xml:space="preserve">Guttmacher Policy Review </w:t>
      </w:r>
      <w:r w:rsidRPr="006B4F39">
        <w:t xml:space="preserve">17, no. 1 (2014), </w:t>
      </w:r>
      <w:hyperlink r:id="rId8" w:history="1">
        <w:r w:rsidRPr="006B4F39">
          <w:rPr>
            <w:rStyle w:val="Hyperlink"/>
          </w:rPr>
          <w:t>http://www.guttmacher.org/pubs/gpr/17/1/gpr170109.html</w:t>
        </w:r>
      </w:hyperlink>
    </w:p>
    <w:p w14:paraId="5A611553" w14:textId="77777777" w:rsidR="00BC243A" w:rsidRDefault="00BC243A" w:rsidP="00BC243A"/>
    <w:p w14:paraId="597C06F0" w14:textId="77777777" w:rsidR="00BC243A" w:rsidRDefault="00BC243A" w:rsidP="00BC243A">
      <w:r w:rsidRPr="00134DE5">
        <w:rPr>
          <w:i/>
        </w:rPr>
        <w:t>H. L v. Matheson</w:t>
      </w:r>
      <w:r>
        <w:t>, 450 U.S. 398 (1981)</w:t>
      </w:r>
    </w:p>
    <w:p w14:paraId="062313B6" w14:textId="77777777" w:rsidR="00BC243A" w:rsidRDefault="00BC243A" w:rsidP="00BC243A"/>
    <w:p w14:paraId="0AB7DD86" w14:textId="77777777" w:rsidR="00BC243A" w:rsidRPr="0035763A" w:rsidRDefault="00BC243A" w:rsidP="00BC243A">
      <w:pPr>
        <w:rPr>
          <w:i/>
        </w:rPr>
      </w:pPr>
      <w:r>
        <w:rPr>
          <w:i/>
        </w:rPr>
        <w:t xml:space="preserve">Hope Clinic for Women, Ltd. v. Flores, </w:t>
      </w:r>
      <w:r>
        <w:t>201 IL 112673.</w:t>
      </w:r>
      <w:r>
        <w:rPr>
          <w:i/>
        </w:rPr>
        <w:t xml:space="preserve"> </w:t>
      </w:r>
    </w:p>
    <w:p w14:paraId="4ABA1E31" w14:textId="77777777" w:rsidR="00BC243A" w:rsidRDefault="00BC243A" w:rsidP="00BC243A"/>
    <w:p w14:paraId="612526B3" w14:textId="77777777" w:rsidR="00BC243A" w:rsidRDefault="00BC243A" w:rsidP="00BC243A">
      <w:r>
        <w:t xml:space="preserve">Kreit, Alex. “Making Sense of Facial and As-Applied Challenges.” </w:t>
      </w:r>
      <w:r>
        <w:rPr>
          <w:i/>
        </w:rPr>
        <w:t xml:space="preserve">William &amp; Mary Bill of Rights Journal, </w:t>
      </w:r>
      <w:r>
        <w:t xml:space="preserve">18, no. 3 (2010): 657-707. </w:t>
      </w:r>
    </w:p>
    <w:p w14:paraId="694A8641" w14:textId="77777777" w:rsidR="00BC243A" w:rsidRDefault="00BC243A" w:rsidP="00BC243A"/>
    <w:p w14:paraId="6B0D54A9" w14:textId="77777777" w:rsidR="00BC243A" w:rsidRPr="009B5AC6" w:rsidRDefault="00BC243A" w:rsidP="00BC243A">
      <w:pPr>
        <w:pStyle w:val="FootnoteText"/>
      </w:pPr>
      <w:r>
        <w:t xml:space="preserve">Leask, Marita. “Constructing women as mentally troubled: The political and peformative effects of psychological studies on abortion and mental health.” </w:t>
      </w:r>
      <w:r>
        <w:rPr>
          <w:i/>
        </w:rPr>
        <w:t xml:space="preserve">Women’s Studies Journal </w:t>
      </w:r>
      <w:r>
        <w:t xml:space="preserve">28, no. 1 (2014): 74-82. </w:t>
      </w:r>
    </w:p>
    <w:p w14:paraId="7975CA8E" w14:textId="77777777" w:rsidR="00BC243A" w:rsidRPr="006B4F39" w:rsidRDefault="00BC243A" w:rsidP="00BC243A"/>
    <w:p w14:paraId="36E8B0D5" w14:textId="77777777" w:rsidR="00BC243A" w:rsidRDefault="00BC243A" w:rsidP="00BC243A">
      <w:r w:rsidRPr="006B4F39">
        <w:rPr>
          <w:i/>
        </w:rPr>
        <w:t xml:space="preserve">Planned Parenthood of Southern Pennsylvania v. Casey, </w:t>
      </w:r>
      <w:r w:rsidRPr="006B4F39">
        <w:t xml:space="preserve">505 U.S. 833 (1992). </w:t>
      </w:r>
    </w:p>
    <w:p w14:paraId="17D4AFFA" w14:textId="77777777" w:rsidR="00BC243A" w:rsidRDefault="00BC243A" w:rsidP="00BC243A"/>
    <w:p w14:paraId="23CDF084" w14:textId="24EB333B" w:rsidR="00CB3FDB" w:rsidRDefault="00CB3FDB" w:rsidP="00BC243A">
      <w:r>
        <w:t xml:space="preserve">“Poverty Statistics by State”, 2015, Talkpoverty.org. </w:t>
      </w:r>
    </w:p>
    <w:p w14:paraId="2E90B5D8" w14:textId="77777777" w:rsidR="00CB3FDB" w:rsidRDefault="00CB3FDB" w:rsidP="00BC243A"/>
    <w:p w14:paraId="556FC011" w14:textId="77777777" w:rsidR="00BC243A" w:rsidRPr="0035763A" w:rsidRDefault="00BC243A" w:rsidP="00BC243A">
      <w:r>
        <w:t xml:space="preserve">Raymond, EG &amp; Grimes, DA. “The comparative safety of legal induced abortion and childbirth in the United States.” </w:t>
      </w:r>
      <w:r>
        <w:rPr>
          <w:i/>
        </w:rPr>
        <w:t xml:space="preserve">Obstetrics &amp; Gynecology </w:t>
      </w:r>
      <w:r>
        <w:t>2, no. 1 (2012)</w:t>
      </w:r>
    </w:p>
    <w:p w14:paraId="3B28397F" w14:textId="77777777" w:rsidR="00BC243A" w:rsidRPr="006B4F39" w:rsidRDefault="00BC243A" w:rsidP="00BC243A"/>
    <w:p w14:paraId="11329781" w14:textId="77777777" w:rsidR="00BC243A" w:rsidRPr="006B4F39" w:rsidRDefault="00BC243A" w:rsidP="00BC243A">
      <w:r w:rsidRPr="006B4F39">
        <w:rPr>
          <w:i/>
        </w:rPr>
        <w:t xml:space="preserve">Roe v. Wade, </w:t>
      </w:r>
      <w:r w:rsidRPr="006B4F39">
        <w:t>410 U.S. 113 (1973).</w:t>
      </w:r>
    </w:p>
    <w:p w14:paraId="5CEAE596" w14:textId="77777777" w:rsidR="00BC243A" w:rsidRPr="006B4F39" w:rsidRDefault="00BC243A" w:rsidP="00BC243A">
      <w:pPr>
        <w:rPr>
          <w:i/>
        </w:rPr>
      </w:pPr>
    </w:p>
    <w:p w14:paraId="3A768E66" w14:textId="77777777" w:rsidR="00BC243A" w:rsidRDefault="00BC243A" w:rsidP="00BC243A">
      <w:r w:rsidRPr="006B4F39">
        <w:rPr>
          <w:i/>
        </w:rPr>
        <w:t xml:space="preserve">State Policies in Brief As of November 1, 2015: An Overview of Abortion Laws </w:t>
      </w:r>
      <w:r w:rsidRPr="006B4F39">
        <w:t xml:space="preserve">(New York: The Guttmacher Institute, 2015). </w:t>
      </w:r>
    </w:p>
    <w:p w14:paraId="7141AFE6" w14:textId="77777777" w:rsidR="00BC243A" w:rsidRDefault="00BC243A" w:rsidP="00BC243A"/>
    <w:p w14:paraId="00060A63" w14:textId="77777777" w:rsidR="00BC243A" w:rsidRPr="006B4F39" w:rsidRDefault="00BC243A" w:rsidP="00BC243A">
      <w:r w:rsidRPr="00134DE5">
        <w:rPr>
          <w:i/>
        </w:rPr>
        <w:t>States Policies in Brief: Parental Involvement in Minors’ Abortions</w:t>
      </w:r>
      <w:r>
        <w:t xml:space="preserve"> (New York: The Guttmacher Insitute, 2015.)</w:t>
      </w:r>
    </w:p>
    <w:p w14:paraId="02C926F3" w14:textId="77777777" w:rsidR="00BC243A" w:rsidRDefault="00BC243A" w:rsidP="00BC243A"/>
    <w:p w14:paraId="03EC5B88" w14:textId="532A961E" w:rsidR="00CB3FDB" w:rsidRDefault="00CB3FDB" w:rsidP="00BC243A">
      <w:r>
        <w:t xml:space="preserve">Texas Federation for Women, “Economic Issues for Women.” 2014. </w:t>
      </w:r>
    </w:p>
    <w:p w14:paraId="1D801FC3" w14:textId="77777777" w:rsidR="00CB3FDB" w:rsidRPr="006B4F39" w:rsidRDefault="00CB3FDB" w:rsidP="00BC243A"/>
    <w:p w14:paraId="79E7E77B" w14:textId="77777777" w:rsidR="00BC243A" w:rsidRDefault="00BC243A" w:rsidP="00BC243A">
      <w:r w:rsidRPr="006B4F39">
        <w:t xml:space="preserve">The Texas Policy Evaluation Project. “Abortion Restrictions in Context,” University of Texas, 2014, </w:t>
      </w:r>
      <w:hyperlink r:id="rId9" w:history="1">
        <w:r w:rsidRPr="00B11E99">
          <w:rPr>
            <w:rStyle w:val="Hyperlink"/>
          </w:rPr>
          <w:t>http://www.utexas.edu/cola/orgs/txpep/</w:t>
        </w:r>
      </w:hyperlink>
    </w:p>
    <w:p w14:paraId="50A851D0" w14:textId="77777777" w:rsidR="00BC243A" w:rsidRDefault="00BC243A" w:rsidP="00BC243A"/>
    <w:p w14:paraId="64577133" w14:textId="77777777" w:rsidR="00BC243A" w:rsidRDefault="00BC243A" w:rsidP="00BC243A">
      <w:r>
        <w:t xml:space="preserve">US Census Bureau. </w:t>
      </w:r>
      <w:r>
        <w:rPr>
          <w:i/>
        </w:rPr>
        <w:t xml:space="preserve">American Community Survey, 2012 ACS 5-Year Estimates. </w:t>
      </w:r>
      <w:r>
        <w:t>2012</w:t>
      </w:r>
    </w:p>
    <w:p w14:paraId="099EAD2A" w14:textId="77777777" w:rsidR="00BC243A" w:rsidRDefault="00BC243A" w:rsidP="00BC243A">
      <w:r>
        <w:t xml:space="preserve"> </w:t>
      </w:r>
    </w:p>
    <w:p w14:paraId="2765CC7F" w14:textId="77777777" w:rsidR="00BC243A" w:rsidRPr="006B4F39" w:rsidRDefault="00BC243A" w:rsidP="00BC243A">
      <w:r>
        <w:t>US Courts. “Judicial Compensation.” 2015, www.uscourts.gov</w:t>
      </w:r>
    </w:p>
    <w:p w14:paraId="0762EC5F" w14:textId="77777777" w:rsidR="00BC243A" w:rsidRPr="006B4F39" w:rsidRDefault="00BC243A" w:rsidP="00BC243A"/>
    <w:p w14:paraId="7912AFE1" w14:textId="77777777" w:rsidR="00BC243A" w:rsidRDefault="00BC243A" w:rsidP="00BC243A">
      <w:r w:rsidRPr="006B4F39">
        <w:t xml:space="preserve">Wharton, Linda &amp; Frietsche, Susan &amp; Kolbert, Kathryn. “Preserving the Core of Roe: Reflections on Planned Parenthood v. Casey.” </w:t>
      </w:r>
      <w:r w:rsidRPr="006B4F39">
        <w:rPr>
          <w:i/>
        </w:rPr>
        <w:t xml:space="preserve">Yale Journal of Law of Feminism </w:t>
      </w:r>
      <w:r w:rsidRPr="006B4F39">
        <w:t>18 (2010): 319-377.</w:t>
      </w:r>
    </w:p>
    <w:p w14:paraId="5CF253DB" w14:textId="77777777" w:rsidR="00BC243A" w:rsidRDefault="00BC243A" w:rsidP="00BC243A"/>
    <w:p w14:paraId="5787E1FB" w14:textId="77777777" w:rsidR="00BC243A" w:rsidRPr="006B4F39" w:rsidRDefault="00BC243A" w:rsidP="00BC243A">
      <w:r>
        <w:t xml:space="preserve">White, Jeremy et al. “What Percent are You?” University of Minnesota Population Center, </w:t>
      </w:r>
      <w:r>
        <w:rPr>
          <w:i/>
        </w:rPr>
        <w:t xml:space="preserve">New York Times, </w:t>
      </w:r>
      <w:r>
        <w:t xml:space="preserve">2015. </w:t>
      </w:r>
    </w:p>
    <w:p w14:paraId="12F549D4" w14:textId="77777777" w:rsidR="00BC243A" w:rsidRDefault="00BC243A" w:rsidP="00BC243A"/>
    <w:p w14:paraId="671E1637" w14:textId="77777777" w:rsidR="00BC243A" w:rsidRDefault="00BC243A" w:rsidP="00BC243A">
      <w:r>
        <w:t xml:space="preserve">Wind, Rebecca. “Second Trimester Abortions Concentrated Among Certain Groups of Women.” Guttmacher Institute, 2011. </w:t>
      </w:r>
    </w:p>
    <w:p w14:paraId="084731C5" w14:textId="77777777" w:rsidR="00BC243A" w:rsidRDefault="00BC243A" w:rsidP="00BC243A"/>
    <w:p w14:paraId="2E4D1AB9" w14:textId="5EECDC85" w:rsidR="00BC243A" w:rsidRPr="006B4F39" w:rsidRDefault="00BC243A" w:rsidP="00BC243A">
      <w:pPr>
        <w:rPr>
          <w:i/>
        </w:rPr>
      </w:pPr>
      <w:r w:rsidRPr="006B4F39">
        <w:rPr>
          <w:i/>
        </w:rPr>
        <w:t>Whole Woman’s Health v. Cole</w:t>
      </w:r>
      <w:r w:rsidR="00062AE3">
        <w:rPr>
          <w:i/>
        </w:rPr>
        <w:t xml:space="preserve">, No. 14-50928. </w:t>
      </w:r>
    </w:p>
    <w:p w14:paraId="0C543C60" w14:textId="77777777" w:rsidR="00443FAD" w:rsidRDefault="00443FAD" w:rsidP="00F67FA7">
      <w:pPr>
        <w:spacing w:line="480" w:lineRule="auto"/>
      </w:pPr>
    </w:p>
    <w:p w14:paraId="43390276" w14:textId="078B20E3" w:rsidR="00983F2B" w:rsidRDefault="00402868" w:rsidP="00AC354A">
      <w:pPr>
        <w:spacing w:line="480" w:lineRule="auto"/>
      </w:pPr>
      <w:r>
        <w:tab/>
      </w:r>
      <w:r w:rsidR="00235355">
        <w:t xml:space="preserve"> </w:t>
      </w:r>
    </w:p>
    <w:p w14:paraId="6A211803" w14:textId="12A31D35" w:rsidR="00235355" w:rsidRDefault="00235355" w:rsidP="00AC354A">
      <w:pPr>
        <w:spacing w:line="480" w:lineRule="auto"/>
      </w:pPr>
      <w:r>
        <w:tab/>
      </w:r>
    </w:p>
    <w:p w14:paraId="60E2AD27" w14:textId="77777777" w:rsidR="000F1A43" w:rsidRDefault="000F1A43" w:rsidP="00C002A9">
      <w:pPr>
        <w:spacing w:line="480" w:lineRule="auto"/>
      </w:pPr>
    </w:p>
    <w:p w14:paraId="7319A4C8" w14:textId="77777777" w:rsidR="000F1A43" w:rsidRDefault="000F1A43" w:rsidP="00C002A9">
      <w:pPr>
        <w:spacing w:line="480" w:lineRule="auto"/>
      </w:pPr>
    </w:p>
    <w:p w14:paraId="39D370E9" w14:textId="77777777" w:rsidR="0018363B" w:rsidRDefault="0018363B" w:rsidP="00C002A9">
      <w:pPr>
        <w:spacing w:line="480" w:lineRule="auto"/>
      </w:pPr>
    </w:p>
    <w:p w14:paraId="7F9F75FB" w14:textId="77777777" w:rsidR="0018363B" w:rsidRDefault="0018363B" w:rsidP="00C002A9">
      <w:pPr>
        <w:spacing w:line="480" w:lineRule="auto"/>
      </w:pPr>
    </w:p>
    <w:sectPr w:rsidR="0018363B" w:rsidSect="00CD44D7">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B8C4A" w14:textId="77777777" w:rsidR="00AD52D6" w:rsidRDefault="00AD52D6" w:rsidP="00E366DD">
      <w:r>
        <w:separator/>
      </w:r>
    </w:p>
  </w:endnote>
  <w:endnote w:type="continuationSeparator" w:id="0">
    <w:p w14:paraId="2FC8D444" w14:textId="77777777" w:rsidR="00AD52D6" w:rsidRDefault="00AD52D6" w:rsidP="00E3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EA95F" w14:textId="77777777" w:rsidR="00AD52D6" w:rsidRDefault="00AD52D6" w:rsidP="00E366DD">
      <w:r>
        <w:separator/>
      </w:r>
    </w:p>
  </w:footnote>
  <w:footnote w:type="continuationSeparator" w:id="0">
    <w:p w14:paraId="711AE126" w14:textId="77777777" w:rsidR="00AD52D6" w:rsidRDefault="00AD52D6" w:rsidP="00E366DD">
      <w:r>
        <w:continuationSeparator/>
      </w:r>
    </w:p>
  </w:footnote>
  <w:footnote w:id="1">
    <w:p w14:paraId="3D846437" w14:textId="4C9D6371" w:rsidR="00AD52D6" w:rsidRPr="004B1F2D" w:rsidRDefault="00AD52D6">
      <w:pPr>
        <w:pStyle w:val="FootnoteText"/>
      </w:pPr>
      <w:r>
        <w:rPr>
          <w:rStyle w:val="FootnoteReference"/>
        </w:rPr>
        <w:footnoteRef/>
      </w:r>
      <w:r>
        <w:t xml:space="preserve"> </w:t>
      </w:r>
      <w:r>
        <w:rPr>
          <w:i/>
        </w:rPr>
        <w:t xml:space="preserve">Roe v. Wade, </w:t>
      </w:r>
      <w:r>
        <w:t xml:space="preserve">410 U.S. 113 (1973).; </w:t>
      </w:r>
      <w:r>
        <w:rPr>
          <w:i/>
        </w:rPr>
        <w:t xml:space="preserve">Planned Parenthood of Southern Pennsylvania v. Casey, </w:t>
      </w:r>
      <w:r>
        <w:t>505 U.S. 833 (1992).</w:t>
      </w:r>
    </w:p>
  </w:footnote>
  <w:footnote w:id="2">
    <w:p w14:paraId="11279E02" w14:textId="041822B9" w:rsidR="00AD52D6" w:rsidRPr="000D55C8" w:rsidRDefault="00AD52D6">
      <w:pPr>
        <w:pStyle w:val="FootnoteText"/>
      </w:pPr>
      <w:r>
        <w:rPr>
          <w:rStyle w:val="FootnoteReference"/>
        </w:rPr>
        <w:footnoteRef/>
      </w:r>
      <w:r>
        <w:t xml:space="preserve"> Heather Boonstra and Elizabeth Nash, “A Surge of State Abortion Restrictions Puts Providers and the Women They Serve in the Crosshairs,” </w:t>
      </w:r>
      <w:r>
        <w:rPr>
          <w:i/>
        </w:rPr>
        <w:t xml:space="preserve">Guttmacher Policy Review </w:t>
      </w:r>
      <w:r>
        <w:t>17, no.1 (2014).</w:t>
      </w:r>
    </w:p>
  </w:footnote>
  <w:footnote w:id="3">
    <w:p w14:paraId="330BE095" w14:textId="1A4B8BFF" w:rsidR="00AD52D6" w:rsidRDefault="00AD52D6">
      <w:pPr>
        <w:pStyle w:val="FootnoteText"/>
      </w:pPr>
      <w:r>
        <w:rPr>
          <w:rStyle w:val="FootnoteReference"/>
        </w:rPr>
        <w:footnoteRef/>
      </w:r>
      <w:r>
        <w:t xml:space="preserve"> “State Policies in Brief As of November 1, 2015: An Overview of Abortion Laws,” The Guttmacher Institute, 2015, http://www.guttmacherinstitute.com.</w:t>
      </w:r>
    </w:p>
  </w:footnote>
  <w:footnote w:id="4">
    <w:p w14:paraId="487B8D61" w14:textId="5E2FF675" w:rsidR="00AD52D6" w:rsidRPr="00087A7F" w:rsidRDefault="00AD52D6">
      <w:pPr>
        <w:pStyle w:val="FootnoteText"/>
      </w:pPr>
      <w:r>
        <w:rPr>
          <w:rStyle w:val="FootnoteReference"/>
        </w:rPr>
        <w:footnoteRef/>
      </w:r>
      <w:r>
        <w:t xml:space="preserve"> Aziza Ahmed, “Informed Decision Making and Abortion: Crisis Pregnancy Centers, Informed Consent, and the First Amendment,” </w:t>
      </w:r>
      <w:r w:rsidRPr="00087A7F">
        <w:rPr>
          <w:i/>
        </w:rPr>
        <w:t>Journal of Law, Medicine, and Ethics</w:t>
      </w:r>
      <w:r>
        <w:rPr>
          <w:i/>
        </w:rPr>
        <w:t xml:space="preserve"> </w:t>
      </w:r>
      <w:r w:rsidRPr="00087A7F">
        <w:t>43, no. 1 (2015): 55</w:t>
      </w:r>
    </w:p>
  </w:footnote>
  <w:footnote w:id="5">
    <w:p w14:paraId="5150D182" w14:textId="573F5769" w:rsidR="00AD52D6" w:rsidRDefault="00AD52D6">
      <w:pPr>
        <w:pStyle w:val="FootnoteText"/>
      </w:pPr>
      <w:r>
        <w:rPr>
          <w:rStyle w:val="FootnoteReference"/>
        </w:rPr>
        <w:footnoteRef/>
      </w:r>
      <w:r>
        <w:t xml:space="preserve"> Guttmacher Institute, “An Overview of Abortion Laws.”</w:t>
      </w:r>
    </w:p>
  </w:footnote>
  <w:footnote w:id="6">
    <w:p w14:paraId="39E65DC7" w14:textId="09A59B12" w:rsidR="00AD52D6" w:rsidRDefault="00AD52D6">
      <w:pPr>
        <w:pStyle w:val="FootnoteText"/>
      </w:pPr>
      <w:r>
        <w:rPr>
          <w:rStyle w:val="FootnoteReference"/>
        </w:rPr>
        <w:footnoteRef/>
      </w:r>
      <w:r>
        <w:t xml:space="preserve"> Guttmacher Institute, “An Overview of Abortion Laws.”</w:t>
      </w:r>
    </w:p>
  </w:footnote>
  <w:footnote w:id="7">
    <w:p w14:paraId="15B8848E" w14:textId="76C88F41" w:rsidR="00AD52D6" w:rsidRDefault="00AD52D6">
      <w:pPr>
        <w:pStyle w:val="FootnoteText"/>
      </w:pPr>
      <w:r>
        <w:rPr>
          <w:rStyle w:val="FootnoteReference"/>
        </w:rPr>
        <w:footnoteRef/>
      </w:r>
      <w:r>
        <w:t xml:space="preserve"> Guttmacher Institute, “An Overview of Abortion Law.”</w:t>
      </w:r>
    </w:p>
  </w:footnote>
  <w:footnote w:id="8">
    <w:p w14:paraId="62D23856" w14:textId="41A42166" w:rsidR="00AD52D6" w:rsidRPr="00D44196" w:rsidRDefault="00AD52D6">
      <w:pPr>
        <w:pStyle w:val="FootnoteText"/>
      </w:pPr>
      <w:r>
        <w:rPr>
          <w:rStyle w:val="FootnoteReference"/>
        </w:rPr>
        <w:footnoteRef/>
      </w:r>
      <w:r>
        <w:t xml:space="preserve"> </w:t>
      </w:r>
      <w:r>
        <w:rPr>
          <w:i/>
        </w:rPr>
        <w:t xml:space="preserve">Casey, </w:t>
      </w:r>
      <w:r>
        <w:t>837</w:t>
      </w:r>
    </w:p>
  </w:footnote>
  <w:footnote w:id="9">
    <w:p w14:paraId="4D4289EF" w14:textId="12B1B775" w:rsidR="00AD52D6" w:rsidRDefault="00AD52D6">
      <w:pPr>
        <w:pStyle w:val="FootnoteText"/>
      </w:pPr>
      <w:r>
        <w:rPr>
          <w:rStyle w:val="FootnoteReference"/>
        </w:rPr>
        <w:footnoteRef/>
      </w:r>
      <w:r w:rsidRPr="00BC243A">
        <w:rPr>
          <w:i/>
        </w:rPr>
        <w:t xml:space="preserve"> Roe</w:t>
      </w:r>
    </w:p>
  </w:footnote>
  <w:footnote w:id="10">
    <w:p w14:paraId="6D32D686" w14:textId="01FC3384" w:rsidR="00AD52D6" w:rsidRDefault="00AD52D6">
      <w:pPr>
        <w:pStyle w:val="FootnoteText"/>
      </w:pPr>
      <w:r>
        <w:rPr>
          <w:rStyle w:val="FootnoteReference"/>
        </w:rPr>
        <w:footnoteRef/>
      </w:r>
      <w:r>
        <w:t xml:space="preserve"> </w:t>
      </w:r>
      <w:r>
        <w:rPr>
          <w:i/>
        </w:rPr>
        <w:t>R</w:t>
      </w:r>
      <w:r w:rsidRPr="00BC243A">
        <w:rPr>
          <w:i/>
        </w:rPr>
        <w:t xml:space="preserve">oe </w:t>
      </w:r>
    </w:p>
  </w:footnote>
  <w:footnote w:id="11">
    <w:p w14:paraId="603C1F7B" w14:textId="5CBF83E8" w:rsidR="00AD52D6" w:rsidRPr="00376187" w:rsidRDefault="00AD52D6">
      <w:pPr>
        <w:pStyle w:val="FootnoteText"/>
      </w:pPr>
      <w:r>
        <w:rPr>
          <w:rStyle w:val="FootnoteReference"/>
        </w:rPr>
        <w:footnoteRef/>
      </w:r>
      <w:r>
        <w:t xml:space="preserve"> </w:t>
      </w:r>
      <w:r>
        <w:rPr>
          <w:i/>
        </w:rPr>
        <w:t>Casey</w:t>
      </w:r>
    </w:p>
  </w:footnote>
  <w:footnote w:id="12">
    <w:p w14:paraId="2E66510E" w14:textId="539DED67" w:rsidR="00AD52D6" w:rsidRPr="00742765" w:rsidRDefault="00AD52D6">
      <w:pPr>
        <w:pStyle w:val="FootnoteText"/>
      </w:pPr>
      <w:r>
        <w:rPr>
          <w:rStyle w:val="FootnoteReference"/>
        </w:rPr>
        <w:footnoteRef/>
      </w:r>
      <w:r>
        <w:t xml:space="preserve"> Linda Wharton, Susan Frietsche, Kathryn Kolbert, “Preserving the Core of Roe: Reflections on Planned Parenthood v. Casey,” </w:t>
      </w:r>
      <w:r>
        <w:rPr>
          <w:i/>
        </w:rPr>
        <w:t xml:space="preserve">Yale Journal of Law and Feminism </w:t>
      </w:r>
      <w:r>
        <w:t>18 (2010): 321.</w:t>
      </w:r>
    </w:p>
  </w:footnote>
  <w:footnote w:id="13">
    <w:p w14:paraId="338C7E1F" w14:textId="02B5579B" w:rsidR="00AD52D6" w:rsidRDefault="00AD52D6">
      <w:pPr>
        <w:pStyle w:val="FootnoteText"/>
      </w:pPr>
      <w:r>
        <w:rPr>
          <w:rStyle w:val="FootnoteReference"/>
        </w:rPr>
        <w:footnoteRef/>
      </w:r>
      <w:r>
        <w:t xml:space="preserve"> </w:t>
      </w:r>
      <w:r w:rsidRPr="001A1FAB">
        <w:rPr>
          <w:i/>
        </w:rPr>
        <w:t>Casey</w:t>
      </w:r>
      <w:r>
        <w:rPr>
          <w:i/>
        </w:rPr>
        <w:t xml:space="preserve">, </w:t>
      </w:r>
      <w:r>
        <w:t xml:space="preserve">846 </w:t>
      </w:r>
    </w:p>
  </w:footnote>
  <w:footnote w:id="14">
    <w:p w14:paraId="53CE9809" w14:textId="01EE8DE2" w:rsidR="00AD52D6" w:rsidRDefault="00AD52D6">
      <w:pPr>
        <w:pStyle w:val="FootnoteText"/>
      </w:pPr>
      <w:r>
        <w:rPr>
          <w:rStyle w:val="FootnoteReference"/>
        </w:rPr>
        <w:footnoteRef/>
      </w:r>
      <w:r>
        <w:t xml:space="preserve"> Casey, 872</w:t>
      </w:r>
    </w:p>
  </w:footnote>
  <w:footnote w:id="15">
    <w:p w14:paraId="3CD2103D" w14:textId="37C5CFE6" w:rsidR="00AD52D6" w:rsidRPr="003B62FE" w:rsidRDefault="00AD52D6">
      <w:pPr>
        <w:pStyle w:val="FootnoteText"/>
      </w:pPr>
      <w:r>
        <w:rPr>
          <w:rStyle w:val="FootnoteReference"/>
        </w:rPr>
        <w:footnoteRef/>
      </w:r>
      <w:r>
        <w:rPr>
          <w:i/>
        </w:rPr>
        <w:t xml:space="preserve"> Casey, </w:t>
      </w:r>
      <w:r w:rsidRPr="008E4518">
        <w:t>874</w:t>
      </w:r>
    </w:p>
  </w:footnote>
  <w:footnote w:id="16">
    <w:p w14:paraId="06F092C7" w14:textId="622A0441" w:rsidR="00AD52D6" w:rsidRPr="00190818" w:rsidRDefault="00AD52D6">
      <w:pPr>
        <w:pStyle w:val="FootnoteText"/>
      </w:pPr>
      <w:r>
        <w:rPr>
          <w:rStyle w:val="FootnoteReference"/>
        </w:rPr>
        <w:footnoteRef/>
      </w:r>
      <w:r>
        <w:t xml:space="preserve"> </w:t>
      </w:r>
      <w:r>
        <w:rPr>
          <w:i/>
        </w:rPr>
        <w:t xml:space="preserve">Casey, </w:t>
      </w:r>
      <w:r>
        <w:t>837</w:t>
      </w:r>
    </w:p>
  </w:footnote>
  <w:footnote w:id="17">
    <w:p w14:paraId="048B2DCF" w14:textId="6C5CAC2A" w:rsidR="00AD52D6" w:rsidRPr="005C1771" w:rsidRDefault="00AD52D6">
      <w:pPr>
        <w:pStyle w:val="FootnoteText"/>
      </w:pPr>
      <w:r>
        <w:rPr>
          <w:rStyle w:val="FootnoteReference"/>
        </w:rPr>
        <w:footnoteRef/>
      </w:r>
      <w:r>
        <w:t xml:space="preserve"> Wharton et al., “Preserving the Core of Roe: Reflections on Planned Parenthood v. Casey,” 319. </w:t>
      </w:r>
    </w:p>
  </w:footnote>
  <w:footnote w:id="18">
    <w:p w14:paraId="43C97421" w14:textId="033BFFB2" w:rsidR="00AD52D6" w:rsidRPr="00013B14" w:rsidRDefault="00AD52D6">
      <w:pPr>
        <w:pStyle w:val="FootnoteText"/>
      </w:pPr>
      <w:r>
        <w:rPr>
          <w:rStyle w:val="FootnoteReference"/>
        </w:rPr>
        <w:footnoteRef/>
      </w:r>
      <w:r>
        <w:t xml:space="preserve"> </w:t>
      </w:r>
      <w:r>
        <w:rPr>
          <w:i/>
        </w:rPr>
        <w:t xml:space="preserve">Casey, </w:t>
      </w:r>
      <w:r>
        <w:t>891</w:t>
      </w:r>
    </w:p>
  </w:footnote>
  <w:footnote w:id="19">
    <w:p w14:paraId="489FD528" w14:textId="2FCCF5E1" w:rsidR="00AD52D6" w:rsidRPr="00B62FD1" w:rsidRDefault="00AD52D6">
      <w:pPr>
        <w:pStyle w:val="FootnoteText"/>
      </w:pPr>
      <w:r>
        <w:rPr>
          <w:rStyle w:val="FootnoteReference"/>
        </w:rPr>
        <w:footnoteRef/>
      </w:r>
      <w:r>
        <w:t xml:space="preserve"> </w:t>
      </w:r>
      <w:r>
        <w:rPr>
          <w:i/>
        </w:rPr>
        <w:t xml:space="preserve">Casey, </w:t>
      </w:r>
      <w:r>
        <w:t>894.</w:t>
      </w:r>
    </w:p>
  </w:footnote>
  <w:footnote w:id="20">
    <w:p w14:paraId="34CF2073" w14:textId="080E2E1C" w:rsidR="00AD52D6" w:rsidRPr="008E4518" w:rsidRDefault="00AD52D6">
      <w:pPr>
        <w:pStyle w:val="FootnoteText"/>
      </w:pPr>
      <w:r>
        <w:rPr>
          <w:rStyle w:val="FootnoteReference"/>
        </w:rPr>
        <w:footnoteRef/>
      </w:r>
      <w:r>
        <w:t xml:space="preserve"> </w:t>
      </w:r>
      <w:r>
        <w:rPr>
          <w:i/>
        </w:rPr>
        <w:t xml:space="preserve">Casey, </w:t>
      </w:r>
      <w:r>
        <w:t>895</w:t>
      </w:r>
    </w:p>
  </w:footnote>
  <w:footnote w:id="21">
    <w:p w14:paraId="27DA53B4" w14:textId="6EA1836F" w:rsidR="00AD52D6" w:rsidRDefault="00AD52D6">
      <w:pPr>
        <w:pStyle w:val="FootnoteText"/>
      </w:pPr>
      <w:r>
        <w:rPr>
          <w:rStyle w:val="FootnoteReference"/>
        </w:rPr>
        <w:footnoteRef/>
      </w:r>
      <w:r>
        <w:t xml:space="preserve"> Wharton et al. “Preserving the Core of Roe: Reflections on Planned Parenthood v. Casey,” </w:t>
      </w:r>
    </w:p>
  </w:footnote>
  <w:footnote w:id="22">
    <w:p w14:paraId="3C31BEB7" w14:textId="7017EB67" w:rsidR="00AD52D6" w:rsidRPr="008E4518" w:rsidRDefault="00AD52D6">
      <w:pPr>
        <w:pStyle w:val="FootnoteText"/>
      </w:pPr>
      <w:r>
        <w:rPr>
          <w:rStyle w:val="FootnoteReference"/>
        </w:rPr>
        <w:footnoteRef/>
      </w:r>
      <w:r>
        <w:t xml:space="preserve"> </w:t>
      </w:r>
      <w:r>
        <w:rPr>
          <w:i/>
        </w:rPr>
        <w:t xml:space="preserve">Casey, </w:t>
      </w:r>
      <w:r>
        <w:t>839; 884; 889</w:t>
      </w:r>
    </w:p>
  </w:footnote>
  <w:footnote w:id="23">
    <w:p w14:paraId="17170ED8" w14:textId="19BB8137" w:rsidR="00AD52D6" w:rsidRPr="009850E2" w:rsidRDefault="00AD52D6">
      <w:pPr>
        <w:pStyle w:val="FootnoteText"/>
      </w:pPr>
      <w:r>
        <w:rPr>
          <w:rStyle w:val="FootnoteReference"/>
        </w:rPr>
        <w:footnoteRef/>
      </w:r>
      <w:r>
        <w:t xml:space="preserve"> </w:t>
      </w:r>
      <w:r>
        <w:rPr>
          <w:i/>
        </w:rPr>
        <w:t xml:space="preserve">Casey, </w:t>
      </w:r>
      <w:r w:rsidRPr="008E4518">
        <w:t>926</w:t>
      </w:r>
    </w:p>
  </w:footnote>
  <w:footnote w:id="24">
    <w:p w14:paraId="556820E6" w14:textId="71483567" w:rsidR="00AD52D6" w:rsidRPr="002B1348" w:rsidRDefault="00AD52D6">
      <w:pPr>
        <w:pStyle w:val="FootnoteText"/>
      </w:pPr>
      <w:r>
        <w:rPr>
          <w:rStyle w:val="FootnoteReference"/>
        </w:rPr>
        <w:footnoteRef/>
      </w:r>
      <w:r>
        <w:t xml:space="preserve"> </w:t>
      </w:r>
      <w:r>
        <w:rPr>
          <w:i/>
        </w:rPr>
        <w:t xml:space="preserve">Casey, </w:t>
      </w:r>
      <w:r w:rsidRPr="008E4518">
        <w:t>992</w:t>
      </w:r>
    </w:p>
  </w:footnote>
  <w:footnote w:id="25">
    <w:p w14:paraId="47AD6DDA" w14:textId="0F69FCE7" w:rsidR="00AD52D6" w:rsidRPr="008E4518" w:rsidRDefault="00AD52D6">
      <w:pPr>
        <w:pStyle w:val="FootnoteText"/>
      </w:pPr>
      <w:r>
        <w:rPr>
          <w:rStyle w:val="FootnoteReference"/>
        </w:rPr>
        <w:footnoteRef/>
      </w:r>
      <w:r>
        <w:t xml:space="preserve"> </w:t>
      </w:r>
      <w:r>
        <w:rPr>
          <w:i/>
        </w:rPr>
        <w:t xml:space="preserve">Casey, </w:t>
      </w:r>
      <w:r>
        <w:t>877</w:t>
      </w:r>
    </w:p>
  </w:footnote>
  <w:footnote w:id="26">
    <w:p w14:paraId="5A7775DE" w14:textId="2BCF4BCE" w:rsidR="00AD52D6" w:rsidRPr="008E4518" w:rsidRDefault="00AD52D6">
      <w:pPr>
        <w:pStyle w:val="FootnoteText"/>
      </w:pPr>
      <w:r>
        <w:rPr>
          <w:rStyle w:val="FootnoteReference"/>
        </w:rPr>
        <w:footnoteRef/>
      </w:r>
      <w:r>
        <w:t xml:space="preserve"> </w:t>
      </w:r>
      <w:r>
        <w:rPr>
          <w:i/>
        </w:rPr>
        <w:t xml:space="preserve">Casey, </w:t>
      </w:r>
      <w:r>
        <w:t>929</w:t>
      </w:r>
    </w:p>
  </w:footnote>
  <w:footnote w:id="27">
    <w:p w14:paraId="0A7A391A" w14:textId="28A40B99" w:rsidR="00AD52D6" w:rsidRDefault="00AD52D6">
      <w:pPr>
        <w:pStyle w:val="FootnoteText"/>
      </w:pPr>
      <w:r>
        <w:rPr>
          <w:rStyle w:val="FootnoteReference"/>
        </w:rPr>
        <w:footnoteRef/>
      </w:r>
      <w:r>
        <w:t xml:space="preserve"> “Abortion Restrictions in Context,” The Texas Policy Evaluation Project, University of Texas, 2014, &lt;http://www.utexas.edu/cola/orgs/txpep/&gt;</w:t>
      </w:r>
    </w:p>
  </w:footnote>
  <w:footnote w:id="28">
    <w:p w14:paraId="01A06485" w14:textId="72A31AA0" w:rsidR="00AD52D6" w:rsidRPr="00064201" w:rsidRDefault="00AD52D6">
      <w:pPr>
        <w:pStyle w:val="FootnoteText"/>
      </w:pPr>
      <w:r>
        <w:rPr>
          <w:rStyle w:val="FootnoteReference"/>
        </w:rPr>
        <w:footnoteRef/>
      </w:r>
      <w:r>
        <w:t xml:space="preserve"> </w:t>
      </w:r>
      <w:r w:rsidRPr="002E1E5D">
        <w:rPr>
          <w:i/>
        </w:rPr>
        <w:t>Whole Woman’s Health v. Cole</w:t>
      </w:r>
      <w:r>
        <w:t xml:space="preserve">, No. 14-50928. </w:t>
      </w:r>
    </w:p>
  </w:footnote>
  <w:footnote w:id="29">
    <w:p w14:paraId="27195EC4" w14:textId="0260D024" w:rsidR="00AD52D6" w:rsidRDefault="00AD52D6">
      <w:pPr>
        <w:pStyle w:val="FootnoteText"/>
      </w:pPr>
      <w:r>
        <w:rPr>
          <w:rStyle w:val="FootnoteReference"/>
        </w:rPr>
        <w:footnoteRef/>
      </w:r>
      <w:r>
        <w:t xml:space="preserve"> “Texas Abortion Clinic Map,” Fund Texas Women, 2015, </w:t>
      </w:r>
      <w:r w:rsidRPr="0058151F">
        <w:t>http://fundtexaschoice.org/resources/texas-abortion-clinic-map/</w:t>
      </w:r>
    </w:p>
  </w:footnote>
  <w:footnote w:id="30">
    <w:p w14:paraId="7AEBBBDC" w14:textId="395B7FCD" w:rsidR="00AD52D6" w:rsidRDefault="00AD52D6">
      <w:pPr>
        <w:pStyle w:val="FootnoteText"/>
      </w:pPr>
      <w:r>
        <w:rPr>
          <w:rStyle w:val="FootnoteReference"/>
        </w:rPr>
        <w:footnoteRef/>
      </w:r>
      <w:r>
        <w:t xml:space="preserve"> </w:t>
      </w:r>
      <w:r w:rsidRPr="002E1E5D">
        <w:rPr>
          <w:i/>
        </w:rPr>
        <w:t>Cole</w:t>
      </w:r>
    </w:p>
  </w:footnote>
  <w:footnote w:id="31">
    <w:p w14:paraId="32D7279E" w14:textId="2E6E5613" w:rsidR="00AD52D6" w:rsidRDefault="00AD52D6">
      <w:pPr>
        <w:pStyle w:val="FootnoteText"/>
      </w:pPr>
      <w:r>
        <w:rPr>
          <w:rStyle w:val="FootnoteReference"/>
        </w:rPr>
        <w:footnoteRef/>
      </w:r>
      <w:r>
        <w:t xml:space="preserve"> Alex Kreit, “Making Sense of Facial and As-Applied Challenges,” </w:t>
      </w:r>
      <w:r>
        <w:rPr>
          <w:i/>
        </w:rPr>
        <w:t xml:space="preserve">William &amp; Mary Bill of Rights Journal, </w:t>
      </w:r>
      <w:r>
        <w:t>18, no. 3 (2010): 657.</w:t>
      </w:r>
    </w:p>
  </w:footnote>
  <w:footnote w:id="32">
    <w:p w14:paraId="2E37CF06" w14:textId="542D9235" w:rsidR="00AD52D6" w:rsidRPr="008E50D7" w:rsidRDefault="00AD52D6">
      <w:pPr>
        <w:pStyle w:val="FootnoteText"/>
      </w:pPr>
      <w:r>
        <w:rPr>
          <w:rStyle w:val="FootnoteReference"/>
        </w:rPr>
        <w:footnoteRef/>
      </w:r>
      <w:r>
        <w:rPr>
          <w:i/>
        </w:rPr>
        <w:t xml:space="preserve"> Cole</w:t>
      </w:r>
    </w:p>
  </w:footnote>
  <w:footnote w:id="33">
    <w:p w14:paraId="5AC44545" w14:textId="71EB9DA6" w:rsidR="00AD52D6" w:rsidRDefault="00AD52D6">
      <w:pPr>
        <w:pStyle w:val="FootnoteText"/>
      </w:pPr>
      <w:r>
        <w:rPr>
          <w:rStyle w:val="FootnoteReference"/>
        </w:rPr>
        <w:footnoteRef/>
      </w:r>
      <w:r>
        <w:t xml:space="preserve"> “Whole Woman’s Health v. Cole,” Center for Reproductive Rights, 2015, &lt;/</w:t>
      </w:r>
      <w:r w:rsidRPr="00D56B0B">
        <w:t>http://www.reproductiverights.org/case/whole-womans-health-v-cole</w:t>
      </w:r>
      <w:r>
        <w:t>.&gt;</w:t>
      </w:r>
    </w:p>
  </w:footnote>
  <w:footnote w:id="34">
    <w:p w14:paraId="4F3C01BA" w14:textId="312F7874" w:rsidR="00AD52D6" w:rsidRDefault="00AD52D6">
      <w:pPr>
        <w:pStyle w:val="FootnoteText"/>
      </w:pPr>
      <w:r>
        <w:rPr>
          <w:rStyle w:val="FootnoteReference"/>
        </w:rPr>
        <w:footnoteRef/>
      </w:r>
      <w:r w:rsidRPr="0036074D">
        <w:rPr>
          <w:i/>
        </w:rPr>
        <w:t xml:space="preserve"> Cole</w:t>
      </w:r>
    </w:p>
  </w:footnote>
  <w:footnote w:id="35">
    <w:p w14:paraId="4AE5F333" w14:textId="67DC80CC" w:rsidR="00AD52D6" w:rsidRDefault="00AD52D6">
      <w:pPr>
        <w:pStyle w:val="FootnoteText"/>
      </w:pPr>
      <w:r>
        <w:rPr>
          <w:rStyle w:val="FootnoteReference"/>
        </w:rPr>
        <w:footnoteRef/>
      </w:r>
      <w:r>
        <w:t xml:space="preserve"> “Whole Woman’s Health v. Cole”</w:t>
      </w:r>
    </w:p>
  </w:footnote>
  <w:footnote w:id="36">
    <w:p w14:paraId="68F57D62" w14:textId="067ED8D2" w:rsidR="00AD52D6" w:rsidRPr="00CB3FDB" w:rsidRDefault="00AD52D6">
      <w:pPr>
        <w:pStyle w:val="FootnoteText"/>
        <w:rPr>
          <w:i/>
        </w:rPr>
      </w:pPr>
      <w:r>
        <w:rPr>
          <w:rStyle w:val="FootnoteReference"/>
        </w:rPr>
        <w:footnoteRef/>
      </w:r>
      <w:r>
        <w:t xml:space="preserve"> </w:t>
      </w:r>
      <w:r>
        <w:rPr>
          <w:i/>
        </w:rPr>
        <w:t>Cole</w:t>
      </w:r>
    </w:p>
  </w:footnote>
  <w:footnote w:id="37">
    <w:p w14:paraId="13388A9E" w14:textId="493C2B12" w:rsidR="00AD52D6" w:rsidRDefault="00AD52D6">
      <w:pPr>
        <w:pStyle w:val="FootnoteText"/>
      </w:pPr>
      <w:r>
        <w:rPr>
          <w:rStyle w:val="FootnoteReference"/>
        </w:rPr>
        <w:footnoteRef/>
      </w:r>
      <w:r>
        <w:t xml:space="preserve"> US Courts, “Judicial Compensation”, 2015, www.uscourts.gov</w:t>
      </w:r>
    </w:p>
  </w:footnote>
  <w:footnote w:id="38">
    <w:p w14:paraId="5E02D0F0" w14:textId="1481FDC4" w:rsidR="00AD52D6" w:rsidRPr="00CD517E" w:rsidRDefault="00AD52D6">
      <w:pPr>
        <w:pStyle w:val="FootnoteText"/>
      </w:pPr>
      <w:r>
        <w:rPr>
          <w:rStyle w:val="FootnoteReference"/>
        </w:rPr>
        <w:footnoteRef/>
      </w:r>
      <w:r>
        <w:t xml:space="preserve"> Jeremy White, et al. “What Percent are You?” University of Minnesota Population Center, </w:t>
      </w:r>
      <w:r w:rsidRPr="004637A7">
        <w:rPr>
          <w:i/>
        </w:rPr>
        <w:t>New York Times</w:t>
      </w:r>
      <w:r>
        <w:rPr>
          <w:i/>
        </w:rPr>
        <w:t xml:space="preserve">. </w:t>
      </w:r>
      <w:r>
        <w:t>2015.</w:t>
      </w:r>
    </w:p>
  </w:footnote>
  <w:footnote w:id="39">
    <w:p w14:paraId="03227F0A" w14:textId="525F4074" w:rsidR="00AD52D6" w:rsidRDefault="00AD52D6">
      <w:pPr>
        <w:pStyle w:val="FootnoteText"/>
      </w:pPr>
      <w:r>
        <w:rPr>
          <w:rStyle w:val="FootnoteReference"/>
        </w:rPr>
        <w:footnoteRef/>
      </w:r>
      <w:r>
        <w:t xml:space="preserve"> Texas Foundation for Women, “Economic Issues for Women,” 2014. </w:t>
      </w:r>
    </w:p>
  </w:footnote>
  <w:footnote w:id="40">
    <w:p w14:paraId="3F2743CC" w14:textId="3927D94D" w:rsidR="00AD52D6" w:rsidRDefault="00AD52D6">
      <w:pPr>
        <w:pStyle w:val="FootnoteText"/>
      </w:pPr>
      <w:r>
        <w:rPr>
          <w:rStyle w:val="FootnoteReference"/>
        </w:rPr>
        <w:footnoteRef/>
      </w:r>
      <w:r>
        <w:t xml:space="preserve"> U.S. Census Bureau, American Community Survey, 2012 ACS 5-Year Estimates.</w:t>
      </w:r>
    </w:p>
  </w:footnote>
  <w:footnote w:id="41">
    <w:p w14:paraId="7AD338D3" w14:textId="4764DFD9" w:rsidR="00AD52D6" w:rsidRDefault="00AD52D6">
      <w:pPr>
        <w:pStyle w:val="FootnoteText"/>
      </w:pPr>
      <w:r>
        <w:rPr>
          <w:rStyle w:val="FootnoteReference"/>
        </w:rPr>
        <w:footnoteRef/>
      </w:r>
      <w:r>
        <w:t xml:space="preserve"> “Poverty Statistics by State,” Talkpoverty.org, 2015. </w:t>
      </w:r>
    </w:p>
  </w:footnote>
  <w:footnote w:id="42">
    <w:p w14:paraId="73B9A6AC" w14:textId="0142C601" w:rsidR="00AD52D6" w:rsidRDefault="00AD52D6">
      <w:pPr>
        <w:pStyle w:val="FootnoteText"/>
      </w:pPr>
      <w:r>
        <w:rPr>
          <w:rStyle w:val="FootnoteReference"/>
        </w:rPr>
        <w:footnoteRef/>
      </w:r>
      <w:r>
        <w:t xml:space="preserve"> US Census. </w:t>
      </w:r>
    </w:p>
  </w:footnote>
  <w:footnote w:id="43">
    <w:p w14:paraId="17A1A678" w14:textId="3806F72A" w:rsidR="00AD52D6" w:rsidRDefault="00AD52D6">
      <w:pPr>
        <w:pStyle w:val="FootnoteText"/>
      </w:pPr>
      <w:r>
        <w:rPr>
          <w:rStyle w:val="FootnoteReference"/>
        </w:rPr>
        <w:footnoteRef/>
      </w:r>
      <w:r>
        <w:t xml:space="preserve"> Texas Womens Foundation, “Economic Issues for Women.”</w:t>
      </w:r>
    </w:p>
  </w:footnote>
  <w:footnote w:id="44">
    <w:p w14:paraId="253179D6" w14:textId="02589488" w:rsidR="00AD52D6" w:rsidRDefault="00AD52D6">
      <w:pPr>
        <w:pStyle w:val="FootnoteText"/>
      </w:pPr>
      <w:r>
        <w:rPr>
          <w:rStyle w:val="FootnoteReference"/>
        </w:rPr>
        <w:footnoteRef/>
      </w:r>
      <w:r>
        <w:t xml:space="preserve"> Guttmacher Institute, “Induced Abortion in the United States.”</w:t>
      </w:r>
    </w:p>
  </w:footnote>
  <w:footnote w:id="45">
    <w:p w14:paraId="12D17BE2" w14:textId="1B46E0C1" w:rsidR="00AD52D6" w:rsidRDefault="00AD52D6">
      <w:pPr>
        <w:pStyle w:val="FootnoteText"/>
      </w:pPr>
      <w:r>
        <w:rPr>
          <w:rStyle w:val="FootnoteReference"/>
        </w:rPr>
        <w:footnoteRef/>
      </w:r>
      <w:r>
        <w:t xml:space="preserve"> Guttmacher Institute, “Induced Abortion in the United States.”</w:t>
      </w:r>
    </w:p>
  </w:footnote>
  <w:footnote w:id="46">
    <w:p w14:paraId="72ABEA7A" w14:textId="3F4F257C" w:rsidR="00AD52D6" w:rsidRDefault="00AD52D6">
      <w:pPr>
        <w:pStyle w:val="FootnoteText"/>
      </w:pPr>
      <w:r>
        <w:rPr>
          <w:rStyle w:val="FootnoteReference"/>
        </w:rPr>
        <w:footnoteRef/>
      </w:r>
      <w:r>
        <w:t xml:space="preserve"> </w:t>
      </w:r>
      <w:r w:rsidRPr="0006795A">
        <w:rPr>
          <w:i/>
        </w:rPr>
        <w:t>Abbott v. Planned Parenthood</w:t>
      </w:r>
      <w:r>
        <w:t xml:space="preserve"> 748 F.3d at 598</w:t>
      </w:r>
    </w:p>
  </w:footnote>
  <w:footnote w:id="47">
    <w:p w14:paraId="0DD8B6DD" w14:textId="766510B1" w:rsidR="00AD52D6" w:rsidRDefault="00AD52D6">
      <w:pPr>
        <w:pStyle w:val="FootnoteText"/>
      </w:pPr>
      <w:r>
        <w:rPr>
          <w:rStyle w:val="FootnoteReference"/>
        </w:rPr>
        <w:footnoteRef/>
      </w:r>
      <w:r>
        <w:t xml:space="preserve"> </w:t>
      </w:r>
      <w:r>
        <w:rPr>
          <w:i/>
        </w:rPr>
        <w:t>Cole</w:t>
      </w:r>
    </w:p>
  </w:footnote>
  <w:footnote w:id="48">
    <w:p w14:paraId="00C2AA38" w14:textId="1E3E4319" w:rsidR="00AD52D6" w:rsidRDefault="00AD52D6">
      <w:pPr>
        <w:pStyle w:val="FootnoteText"/>
      </w:pPr>
      <w:r>
        <w:rPr>
          <w:rStyle w:val="FootnoteReference"/>
        </w:rPr>
        <w:footnoteRef/>
      </w:r>
      <w:r w:rsidRPr="00703255">
        <w:rPr>
          <w:i/>
        </w:rPr>
        <w:t>. Cole</w:t>
      </w:r>
    </w:p>
  </w:footnote>
  <w:footnote w:id="49">
    <w:p w14:paraId="18BCE6A4" w14:textId="55A0E608" w:rsidR="00AD52D6" w:rsidRPr="00E222A6" w:rsidRDefault="00AD52D6">
      <w:pPr>
        <w:pStyle w:val="FootnoteText"/>
        <w:rPr>
          <w:i/>
        </w:rPr>
      </w:pPr>
      <w:r>
        <w:rPr>
          <w:rStyle w:val="FootnoteReference"/>
        </w:rPr>
        <w:footnoteRef/>
      </w:r>
      <w:r>
        <w:t xml:space="preserve"> </w:t>
      </w:r>
      <w:r>
        <w:rPr>
          <w:i/>
        </w:rPr>
        <w:t>Cole</w:t>
      </w:r>
    </w:p>
  </w:footnote>
  <w:footnote w:id="50">
    <w:p w14:paraId="010646A1" w14:textId="0873EC4F" w:rsidR="00AD52D6" w:rsidRDefault="00AD52D6">
      <w:pPr>
        <w:pStyle w:val="FootnoteText"/>
      </w:pPr>
      <w:r>
        <w:rPr>
          <w:rStyle w:val="FootnoteReference"/>
        </w:rPr>
        <w:footnoteRef/>
      </w:r>
      <w:r>
        <w:t xml:space="preserve"> “Abortion Wait Times in Texas: The Shrinking Capacity of Facilities and the Potentional Impact of Closing Non-ASC Clinics,” Texas Policy Evaluation Project, University of Texas, 2015. </w:t>
      </w:r>
    </w:p>
  </w:footnote>
  <w:footnote w:id="51">
    <w:p w14:paraId="6CDA1987" w14:textId="44CAF294" w:rsidR="00AD52D6" w:rsidRDefault="00AD52D6">
      <w:pPr>
        <w:pStyle w:val="FootnoteText"/>
      </w:pPr>
      <w:r>
        <w:rPr>
          <w:rStyle w:val="FootnoteReference"/>
        </w:rPr>
        <w:footnoteRef/>
      </w:r>
      <w:r>
        <w:t xml:space="preserve"> Texas Policy Evaluation Project, “Abortion Wait Times.”</w:t>
      </w:r>
    </w:p>
  </w:footnote>
  <w:footnote w:id="52">
    <w:p w14:paraId="08C13125" w14:textId="132A6C1B" w:rsidR="00AD52D6" w:rsidRPr="002D7FFD" w:rsidRDefault="00AD52D6">
      <w:pPr>
        <w:pStyle w:val="FootnoteText"/>
      </w:pPr>
      <w:r>
        <w:rPr>
          <w:rStyle w:val="FootnoteReference"/>
        </w:rPr>
        <w:footnoteRef/>
      </w:r>
      <w:r>
        <w:t xml:space="preserve"> Rebecca Wind, “Second-Trimester Abortions Concentrated Among Certain Groups of Women,” Guttmacher Institute, 2011. </w:t>
      </w:r>
    </w:p>
  </w:footnote>
  <w:footnote w:id="53">
    <w:p w14:paraId="2113F6E7" w14:textId="5E126C6A" w:rsidR="00AD52D6" w:rsidRDefault="00AD52D6">
      <w:pPr>
        <w:pStyle w:val="FootnoteText"/>
      </w:pPr>
      <w:r>
        <w:rPr>
          <w:rStyle w:val="FootnoteReference"/>
        </w:rPr>
        <w:footnoteRef/>
      </w:r>
      <w:r>
        <w:t xml:space="preserve"> “Induced Abortion in the United States,” Guttmacher Institute</w:t>
      </w:r>
    </w:p>
  </w:footnote>
  <w:footnote w:id="54">
    <w:p w14:paraId="5363CA34" w14:textId="0D03FA5A" w:rsidR="00AD52D6" w:rsidRDefault="00AD52D6">
      <w:pPr>
        <w:pStyle w:val="FootnoteText"/>
      </w:pPr>
      <w:r>
        <w:rPr>
          <w:rStyle w:val="FootnoteReference"/>
        </w:rPr>
        <w:footnoteRef/>
      </w:r>
      <w:r>
        <w:t xml:space="preserve"> “State Policies in Brief: Parental Involvement in Minors’ Abortions”, Guttmacher Institute, 2015.</w:t>
      </w:r>
    </w:p>
  </w:footnote>
  <w:footnote w:id="55">
    <w:p w14:paraId="1837A202" w14:textId="724BEB5C" w:rsidR="00AD52D6" w:rsidRPr="009B5AC6" w:rsidRDefault="00AD52D6">
      <w:pPr>
        <w:pStyle w:val="FootnoteText"/>
      </w:pPr>
      <w:r>
        <w:rPr>
          <w:rStyle w:val="FootnoteReference"/>
        </w:rPr>
        <w:footnoteRef/>
      </w:r>
      <w:r>
        <w:t xml:space="preserve"> </w:t>
      </w:r>
      <w:r w:rsidRPr="00C148EF">
        <w:rPr>
          <w:i/>
        </w:rPr>
        <w:t>Casey</w:t>
      </w:r>
      <w:r>
        <w:rPr>
          <w:i/>
        </w:rPr>
        <w:t xml:space="preserve">, </w:t>
      </w:r>
      <w:r>
        <w:t>841</w:t>
      </w:r>
    </w:p>
  </w:footnote>
  <w:footnote w:id="56">
    <w:p w14:paraId="4CF99A55" w14:textId="5C045940" w:rsidR="00AD52D6" w:rsidRDefault="00AD52D6">
      <w:pPr>
        <w:pStyle w:val="FootnoteText"/>
      </w:pPr>
      <w:r>
        <w:rPr>
          <w:rStyle w:val="FootnoteReference"/>
        </w:rPr>
        <w:footnoteRef/>
      </w:r>
      <w:r>
        <w:t xml:space="preserve"> Center for Reproductive Rights</w:t>
      </w:r>
    </w:p>
  </w:footnote>
  <w:footnote w:id="57">
    <w:p w14:paraId="119E7825" w14:textId="1DEE70D2" w:rsidR="00AD52D6" w:rsidRPr="009B5AC6" w:rsidRDefault="00AD52D6">
      <w:pPr>
        <w:pStyle w:val="FootnoteText"/>
      </w:pPr>
      <w:r>
        <w:rPr>
          <w:rStyle w:val="FootnoteReference"/>
        </w:rPr>
        <w:footnoteRef/>
      </w:r>
      <w:r>
        <w:t xml:space="preserve"> </w:t>
      </w:r>
      <w:r w:rsidRPr="00AF4DF6">
        <w:rPr>
          <w:i/>
        </w:rPr>
        <w:t>Ayotte v. Planned Parenthood</w:t>
      </w:r>
      <w:r>
        <w:rPr>
          <w:i/>
        </w:rPr>
        <w:t xml:space="preserve">, </w:t>
      </w:r>
      <w:r>
        <w:t>546 U.S. 320 (2006), 9</w:t>
      </w:r>
    </w:p>
  </w:footnote>
  <w:footnote w:id="58">
    <w:p w14:paraId="0D5F7BCE" w14:textId="5F6AE235" w:rsidR="00AD52D6" w:rsidRPr="00F73E31" w:rsidRDefault="00AD52D6">
      <w:pPr>
        <w:pStyle w:val="FootnoteText"/>
        <w:rPr>
          <w:i/>
        </w:rPr>
      </w:pPr>
      <w:r>
        <w:rPr>
          <w:rStyle w:val="FootnoteReference"/>
        </w:rPr>
        <w:footnoteRef/>
      </w:r>
      <w:r>
        <w:t xml:space="preserve"> </w:t>
      </w:r>
      <w:r>
        <w:rPr>
          <w:i/>
        </w:rPr>
        <w:t>Flores, 12</w:t>
      </w:r>
    </w:p>
  </w:footnote>
  <w:footnote w:id="59">
    <w:p w14:paraId="1B06788D" w14:textId="7BDE605C" w:rsidR="00AD52D6" w:rsidRPr="00F14426" w:rsidRDefault="00AD52D6">
      <w:pPr>
        <w:pStyle w:val="FootnoteText"/>
        <w:rPr>
          <w:i/>
        </w:rPr>
      </w:pPr>
      <w:r>
        <w:rPr>
          <w:rStyle w:val="FootnoteReference"/>
        </w:rPr>
        <w:footnoteRef/>
      </w:r>
      <w:r>
        <w:t xml:space="preserve"> </w:t>
      </w:r>
      <w:r>
        <w:rPr>
          <w:i/>
        </w:rPr>
        <w:t>Hope, 91</w:t>
      </w:r>
    </w:p>
  </w:footnote>
  <w:footnote w:id="60">
    <w:p w14:paraId="3739896C" w14:textId="7985EF98" w:rsidR="00AD52D6" w:rsidRDefault="00AD52D6">
      <w:pPr>
        <w:pStyle w:val="FootnoteText"/>
      </w:pPr>
      <w:r>
        <w:rPr>
          <w:rStyle w:val="FootnoteReference"/>
        </w:rPr>
        <w:footnoteRef/>
      </w:r>
      <w:r>
        <w:t xml:space="preserve"> </w:t>
      </w:r>
      <w:r>
        <w:rPr>
          <w:i/>
        </w:rPr>
        <w:t>Hope,</w:t>
      </w:r>
      <w:r w:rsidRPr="00934130">
        <w:rPr>
          <w:i/>
        </w:rPr>
        <w:t xml:space="preserve"> 90</w:t>
      </w:r>
    </w:p>
  </w:footnote>
  <w:footnote w:id="61">
    <w:p w14:paraId="165AB60E" w14:textId="3A263D0E" w:rsidR="00AD52D6" w:rsidRPr="00A03CD1" w:rsidRDefault="00AD52D6">
      <w:pPr>
        <w:pStyle w:val="FootnoteText"/>
      </w:pPr>
      <w:r>
        <w:rPr>
          <w:rStyle w:val="FootnoteReference"/>
        </w:rPr>
        <w:footnoteRef/>
      </w:r>
      <w:r>
        <w:t xml:space="preserve"> </w:t>
      </w:r>
      <w:r>
        <w:rPr>
          <w:i/>
        </w:rPr>
        <w:t xml:space="preserve">H.L. v. Matheson, </w:t>
      </w:r>
      <w:r>
        <w:t>450 U.S. 398 (1981) at 412-13.</w:t>
      </w:r>
    </w:p>
  </w:footnote>
  <w:footnote w:id="62">
    <w:p w14:paraId="7812599B" w14:textId="49E40B32" w:rsidR="00AD52D6" w:rsidRPr="009B5AC6" w:rsidRDefault="00AD52D6">
      <w:pPr>
        <w:pStyle w:val="FootnoteText"/>
      </w:pPr>
      <w:r>
        <w:rPr>
          <w:rStyle w:val="FootnoteReference"/>
        </w:rPr>
        <w:footnoteRef/>
      </w:r>
      <w:r>
        <w:t xml:space="preserve"> Marita Leask, “Constructing women as mentally troubled: The political and peformative effects of psychological studies on abortion and mental health,” </w:t>
      </w:r>
      <w:r>
        <w:rPr>
          <w:i/>
        </w:rPr>
        <w:t xml:space="preserve">Women’s Studies Journal </w:t>
      </w:r>
      <w:r>
        <w:t>28, no. 1 (2014): 77.</w:t>
      </w:r>
    </w:p>
  </w:footnote>
  <w:footnote w:id="63">
    <w:p w14:paraId="7B1D3231" w14:textId="705595D0" w:rsidR="00AD52D6" w:rsidRPr="00C87F49" w:rsidRDefault="00AD52D6">
      <w:pPr>
        <w:pStyle w:val="FootnoteText"/>
      </w:pPr>
      <w:r>
        <w:rPr>
          <w:rStyle w:val="FootnoteReference"/>
        </w:rPr>
        <w:footnoteRef/>
      </w:r>
      <w:r>
        <w:t xml:space="preserve"> EG Raymond &amp; DA Grimes, “The comparative safety of legal induced abortion and childbirth in the United States,” </w:t>
      </w:r>
      <w:r>
        <w:rPr>
          <w:i/>
        </w:rPr>
        <w:t xml:space="preserve">Obstetrics &amp; Gynecology </w:t>
      </w:r>
      <w:r>
        <w:t>2, no. 1 (2012): 216.</w:t>
      </w:r>
    </w:p>
  </w:footnote>
  <w:footnote w:id="64">
    <w:p w14:paraId="1052C32F" w14:textId="4FD62D9A" w:rsidR="00AD52D6" w:rsidRDefault="00AD52D6">
      <w:pPr>
        <w:pStyle w:val="FootnoteText"/>
      </w:pPr>
      <w:r>
        <w:rPr>
          <w:rStyle w:val="FootnoteReference"/>
        </w:rPr>
        <w:footnoteRef/>
      </w:r>
      <w:r>
        <w:t xml:space="preserve"> Sharon Camp, “Parental Involvement Laws have no effect on Abortion Rates.”, RH Reality Check, 2008, </w:t>
      </w:r>
      <w:r w:rsidRPr="001974A4">
        <w:t>http://rhrealitycheck.org/article/2008/10/24/parental-involvement-laws-have-no-effect-abortion-rates/</w:t>
      </w:r>
    </w:p>
  </w:footnote>
  <w:footnote w:id="65">
    <w:p w14:paraId="2BF8B0F2" w14:textId="645B8F1F" w:rsidR="00AD52D6" w:rsidRPr="009B5AC6" w:rsidRDefault="00AD52D6">
      <w:pPr>
        <w:pStyle w:val="FootnoteText"/>
      </w:pPr>
      <w:r>
        <w:rPr>
          <w:rStyle w:val="FootnoteReference"/>
        </w:rPr>
        <w:footnoteRef/>
      </w:r>
      <w:r>
        <w:t xml:space="preserve"> </w:t>
      </w:r>
      <w:r>
        <w:rPr>
          <w:i/>
        </w:rPr>
        <w:t xml:space="preserve">Casey, </w:t>
      </w:r>
      <w:r>
        <w:t>889</w:t>
      </w:r>
    </w:p>
  </w:footnote>
  <w:footnote w:id="66">
    <w:p w14:paraId="28778EF2" w14:textId="73ABF4FA" w:rsidR="00720D4E" w:rsidRDefault="00720D4E">
      <w:pPr>
        <w:pStyle w:val="FootnoteText"/>
      </w:pPr>
      <w:r>
        <w:rPr>
          <w:rStyle w:val="FootnoteReference"/>
        </w:rPr>
        <w:footnoteRef/>
      </w:r>
      <w:r>
        <w:t xml:space="preserve"> “Mandatory Parental Involvement Laws.” Pro Choice America. 2015. </w:t>
      </w:r>
    </w:p>
  </w:footnote>
  <w:footnote w:id="67">
    <w:p w14:paraId="202650D3" w14:textId="620D5D07" w:rsidR="00AD52D6" w:rsidRPr="009B5AC6" w:rsidRDefault="00AD52D6">
      <w:pPr>
        <w:pStyle w:val="FootnoteText"/>
      </w:pPr>
      <w:r>
        <w:rPr>
          <w:rStyle w:val="FootnoteReference"/>
        </w:rPr>
        <w:footnoteRef/>
      </w:r>
      <w:r>
        <w:t xml:space="preserve"> </w:t>
      </w:r>
      <w:r>
        <w:rPr>
          <w:i/>
        </w:rPr>
        <w:t xml:space="preserve">Casey, </w:t>
      </w:r>
      <w:r>
        <w:t>890</w:t>
      </w:r>
    </w:p>
  </w:footnote>
  <w:footnote w:id="68">
    <w:p w14:paraId="53A21EC8" w14:textId="1020607B" w:rsidR="00AD52D6" w:rsidRPr="00217A27" w:rsidRDefault="00AD52D6">
      <w:pPr>
        <w:pStyle w:val="FootnoteText"/>
      </w:pPr>
      <w:r>
        <w:rPr>
          <w:rStyle w:val="FootnoteReference"/>
        </w:rPr>
        <w:footnoteRef/>
      </w:r>
      <w:r>
        <w:t xml:space="preserve"> Barbara Brotman, “How young women in Illinois get abortions without parental notification,” </w:t>
      </w:r>
      <w:r>
        <w:rPr>
          <w:i/>
        </w:rPr>
        <w:t xml:space="preserve">Chicago Tribune, </w:t>
      </w:r>
      <w:r>
        <w:t xml:space="preserve">October, 9,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1D61" w14:textId="77777777" w:rsidR="00AD52D6" w:rsidRDefault="00AD52D6" w:rsidP="004B1F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A21F1" w14:textId="77777777" w:rsidR="00AD52D6" w:rsidRDefault="00AD52D6" w:rsidP="00C4576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5FBF" w14:textId="77777777" w:rsidR="00AD52D6" w:rsidRDefault="00AD52D6" w:rsidP="004B1F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6B05">
      <w:rPr>
        <w:rStyle w:val="PageNumber"/>
        <w:noProof/>
      </w:rPr>
      <w:t>1</w:t>
    </w:r>
    <w:r>
      <w:rPr>
        <w:rStyle w:val="PageNumber"/>
      </w:rPr>
      <w:fldChar w:fldCharType="end"/>
    </w:r>
  </w:p>
  <w:p w14:paraId="3E2C4553" w14:textId="77777777" w:rsidR="00AD52D6" w:rsidRDefault="00AD52D6" w:rsidP="00C4576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3B"/>
    <w:rsid w:val="00012A10"/>
    <w:rsid w:val="00013B14"/>
    <w:rsid w:val="0002138B"/>
    <w:rsid w:val="000255CF"/>
    <w:rsid w:val="00027954"/>
    <w:rsid w:val="000356EF"/>
    <w:rsid w:val="000358F1"/>
    <w:rsid w:val="0003616F"/>
    <w:rsid w:val="00044667"/>
    <w:rsid w:val="00046884"/>
    <w:rsid w:val="00050E1C"/>
    <w:rsid w:val="00053CB6"/>
    <w:rsid w:val="00055921"/>
    <w:rsid w:val="00057C79"/>
    <w:rsid w:val="00060A7F"/>
    <w:rsid w:val="00062AE3"/>
    <w:rsid w:val="00064201"/>
    <w:rsid w:val="0006795A"/>
    <w:rsid w:val="000752CF"/>
    <w:rsid w:val="00080EAE"/>
    <w:rsid w:val="00085100"/>
    <w:rsid w:val="00087A7F"/>
    <w:rsid w:val="000904A8"/>
    <w:rsid w:val="000904FC"/>
    <w:rsid w:val="000923B4"/>
    <w:rsid w:val="0009401A"/>
    <w:rsid w:val="00095BF3"/>
    <w:rsid w:val="00097AFC"/>
    <w:rsid w:val="000A2D7C"/>
    <w:rsid w:val="000B068C"/>
    <w:rsid w:val="000B470F"/>
    <w:rsid w:val="000B7644"/>
    <w:rsid w:val="000B7EA2"/>
    <w:rsid w:val="000D2282"/>
    <w:rsid w:val="000D55C8"/>
    <w:rsid w:val="000E74BA"/>
    <w:rsid w:val="000F1A43"/>
    <w:rsid w:val="000F2B0C"/>
    <w:rsid w:val="000F46F2"/>
    <w:rsid w:val="001007D7"/>
    <w:rsid w:val="001009A3"/>
    <w:rsid w:val="00102C19"/>
    <w:rsid w:val="00103E1D"/>
    <w:rsid w:val="00112C75"/>
    <w:rsid w:val="001157A6"/>
    <w:rsid w:val="0011716E"/>
    <w:rsid w:val="0012204C"/>
    <w:rsid w:val="00125A43"/>
    <w:rsid w:val="001267F0"/>
    <w:rsid w:val="00132CD5"/>
    <w:rsid w:val="001356D4"/>
    <w:rsid w:val="001374B6"/>
    <w:rsid w:val="001430A8"/>
    <w:rsid w:val="001430E4"/>
    <w:rsid w:val="001528F1"/>
    <w:rsid w:val="00154D78"/>
    <w:rsid w:val="00157B63"/>
    <w:rsid w:val="00165EEE"/>
    <w:rsid w:val="0016602D"/>
    <w:rsid w:val="001677AC"/>
    <w:rsid w:val="00170642"/>
    <w:rsid w:val="0017174A"/>
    <w:rsid w:val="00176093"/>
    <w:rsid w:val="0018064C"/>
    <w:rsid w:val="0018363B"/>
    <w:rsid w:val="00190818"/>
    <w:rsid w:val="00190C88"/>
    <w:rsid w:val="0019736D"/>
    <w:rsid w:val="001974A4"/>
    <w:rsid w:val="001A191A"/>
    <w:rsid w:val="001A1FAB"/>
    <w:rsid w:val="001B187C"/>
    <w:rsid w:val="001B418A"/>
    <w:rsid w:val="001B56F7"/>
    <w:rsid w:val="001C0696"/>
    <w:rsid w:val="001C396A"/>
    <w:rsid w:val="001C4B21"/>
    <w:rsid w:val="001C6868"/>
    <w:rsid w:val="001C6EB9"/>
    <w:rsid w:val="001C7F6E"/>
    <w:rsid w:val="001D02D6"/>
    <w:rsid w:val="001E0430"/>
    <w:rsid w:val="001E2B4E"/>
    <w:rsid w:val="001E4343"/>
    <w:rsid w:val="001E698A"/>
    <w:rsid w:val="001E6DFC"/>
    <w:rsid w:val="001F01E7"/>
    <w:rsid w:val="00200438"/>
    <w:rsid w:val="0020232D"/>
    <w:rsid w:val="00202C72"/>
    <w:rsid w:val="00204D37"/>
    <w:rsid w:val="002061E2"/>
    <w:rsid w:val="00207807"/>
    <w:rsid w:val="00215FD3"/>
    <w:rsid w:val="00216FB8"/>
    <w:rsid w:val="00217A27"/>
    <w:rsid w:val="00222DD7"/>
    <w:rsid w:val="0022413C"/>
    <w:rsid w:val="00224C03"/>
    <w:rsid w:val="002259FC"/>
    <w:rsid w:val="002352F4"/>
    <w:rsid w:val="00235355"/>
    <w:rsid w:val="00237A2E"/>
    <w:rsid w:val="002472DC"/>
    <w:rsid w:val="0025402B"/>
    <w:rsid w:val="00256300"/>
    <w:rsid w:val="002613D6"/>
    <w:rsid w:val="00262D3D"/>
    <w:rsid w:val="00263B97"/>
    <w:rsid w:val="00264BA5"/>
    <w:rsid w:val="00266524"/>
    <w:rsid w:val="002725FF"/>
    <w:rsid w:val="00276498"/>
    <w:rsid w:val="00276893"/>
    <w:rsid w:val="0027755E"/>
    <w:rsid w:val="0027768C"/>
    <w:rsid w:val="00291879"/>
    <w:rsid w:val="00291BBA"/>
    <w:rsid w:val="00294EF2"/>
    <w:rsid w:val="00294F50"/>
    <w:rsid w:val="0029642D"/>
    <w:rsid w:val="002A5E32"/>
    <w:rsid w:val="002A6162"/>
    <w:rsid w:val="002A7911"/>
    <w:rsid w:val="002B1348"/>
    <w:rsid w:val="002B26EF"/>
    <w:rsid w:val="002C2F9E"/>
    <w:rsid w:val="002C5885"/>
    <w:rsid w:val="002D2DD2"/>
    <w:rsid w:val="002D2F07"/>
    <w:rsid w:val="002D773E"/>
    <w:rsid w:val="002D7FFD"/>
    <w:rsid w:val="002E1601"/>
    <w:rsid w:val="002E1E5D"/>
    <w:rsid w:val="002E1F53"/>
    <w:rsid w:val="002E358F"/>
    <w:rsid w:val="002E576B"/>
    <w:rsid w:val="002F50D6"/>
    <w:rsid w:val="003008D5"/>
    <w:rsid w:val="00300CA6"/>
    <w:rsid w:val="003026B7"/>
    <w:rsid w:val="0030456C"/>
    <w:rsid w:val="00320E51"/>
    <w:rsid w:val="00321D4E"/>
    <w:rsid w:val="00322855"/>
    <w:rsid w:val="00325733"/>
    <w:rsid w:val="00330F35"/>
    <w:rsid w:val="0033188B"/>
    <w:rsid w:val="0033523F"/>
    <w:rsid w:val="00335998"/>
    <w:rsid w:val="003447DC"/>
    <w:rsid w:val="00345AF7"/>
    <w:rsid w:val="00351153"/>
    <w:rsid w:val="003515DA"/>
    <w:rsid w:val="00351CBD"/>
    <w:rsid w:val="00354F8C"/>
    <w:rsid w:val="0035575A"/>
    <w:rsid w:val="003575E4"/>
    <w:rsid w:val="003576ED"/>
    <w:rsid w:val="0036074D"/>
    <w:rsid w:val="00361D02"/>
    <w:rsid w:val="00362E9B"/>
    <w:rsid w:val="00363B2C"/>
    <w:rsid w:val="0037513E"/>
    <w:rsid w:val="00376187"/>
    <w:rsid w:val="00386CD7"/>
    <w:rsid w:val="00393015"/>
    <w:rsid w:val="003A4211"/>
    <w:rsid w:val="003A54DD"/>
    <w:rsid w:val="003B3436"/>
    <w:rsid w:val="003B3642"/>
    <w:rsid w:val="003B62FE"/>
    <w:rsid w:val="003C3A0D"/>
    <w:rsid w:val="003C6759"/>
    <w:rsid w:val="003D195D"/>
    <w:rsid w:val="003D6C6A"/>
    <w:rsid w:val="003E6351"/>
    <w:rsid w:val="003E715A"/>
    <w:rsid w:val="003F75D2"/>
    <w:rsid w:val="00402868"/>
    <w:rsid w:val="00407056"/>
    <w:rsid w:val="00411B95"/>
    <w:rsid w:val="00411D17"/>
    <w:rsid w:val="00416C8B"/>
    <w:rsid w:val="00417450"/>
    <w:rsid w:val="00420813"/>
    <w:rsid w:val="004241F4"/>
    <w:rsid w:val="004310FA"/>
    <w:rsid w:val="00435740"/>
    <w:rsid w:val="00441C86"/>
    <w:rsid w:val="00443FAD"/>
    <w:rsid w:val="00457D97"/>
    <w:rsid w:val="004619D7"/>
    <w:rsid w:val="004622D4"/>
    <w:rsid w:val="00463118"/>
    <w:rsid w:val="004637A7"/>
    <w:rsid w:val="004665D3"/>
    <w:rsid w:val="004709E5"/>
    <w:rsid w:val="00472221"/>
    <w:rsid w:val="00472E38"/>
    <w:rsid w:val="00475197"/>
    <w:rsid w:val="0047579E"/>
    <w:rsid w:val="004809C0"/>
    <w:rsid w:val="00481527"/>
    <w:rsid w:val="0049146C"/>
    <w:rsid w:val="004944A6"/>
    <w:rsid w:val="004A0A09"/>
    <w:rsid w:val="004A2548"/>
    <w:rsid w:val="004A4EE0"/>
    <w:rsid w:val="004B1F2D"/>
    <w:rsid w:val="004B3693"/>
    <w:rsid w:val="004B635E"/>
    <w:rsid w:val="004B6CF1"/>
    <w:rsid w:val="004C130D"/>
    <w:rsid w:val="004C1B0E"/>
    <w:rsid w:val="004C1CCD"/>
    <w:rsid w:val="004C2F8C"/>
    <w:rsid w:val="004C6F0B"/>
    <w:rsid w:val="004D1698"/>
    <w:rsid w:val="004D3969"/>
    <w:rsid w:val="004E0224"/>
    <w:rsid w:val="004E25D8"/>
    <w:rsid w:val="004E4281"/>
    <w:rsid w:val="004E46A9"/>
    <w:rsid w:val="004F06DE"/>
    <w:rsid w:val="004F1443"/>
    <w:rsid w:val="004F36BC"/>
    <w:rsid w:val="004F4187"/>
    <w:rsid w:val="004F5163"/>
    <w:rsid w:val="004F5DCB"/>
    <w:rsid w:val="00501327"/>
    <w:rsid w:val="005022E9"/>
    <w:rsid w:val="00504FCA"/>
    <w:rsid w:val="0053135A"/>
    <w:rsid w:val="00531874"/>
    <w:rsid w:val="00535924"/>
    <w:rsid w:val="00536C88"/>
    <w:rsid w:val="005409D5"/>
    <w:rsid w:val="00542880"/>
    <w:rsid w:val="00546296"/>
    <w:rsid w:val="005554BD"/>
    <w:rsid w:val="005612A0"/>
    <w:rsid w:val="0056386D"/>
    <w:rsid w:val="00563895"/>
    <w:rsid w:val="00572927"/>
    <w:rsid w:val="005738C0"/>
    <w:rsid w:val="00573CB6"/>
    <w:rsid w:val="00575189"/>
    <w:rsid w:val="0057765E"/>
    <w:rsid w:val="0058151F"/>
    <w:rsid w:val="00584EB0"/>
    <w:rsid w:val="00587CAD"/>
    <w:rsid w:val="005910B4"/>
    <w:rsid w:val="00592A9C"/>
    <w:rsid w:val="00592EE2"/>
    <w:rsid w:val="00595F4E"/>
    <w:rsid w:val="005A3DE3"/>
    <w:rsid w:val="005A4866"/>
    <w:rsid w:val="005B00C9"/>
    <w:rsid w:val="005B2BC3"/>
    <w:rsid w:val="005C1771"/>
    <w:rsid w:val="005C2C36"/>
    <w:rsid w:val="005C638D"/>
    <w:rsid w:val="005C758D"/>
    <w:rsid w:val="005D4665"/>
    <w:rsid w:val="005D7618"/>
    <w:rsid w:val="005E7670"/>
    <w:rsid w:val="005F096F"/>
    <w:rsid w:val="005F6B05"/>
    <w:rsid w:val="005F6E62"/>
    <w:rsid w:val="00601D17"/>
    <w:rsid w:val="00620775"/>
    <w:rsid w:val="00622623"/>
    <w:rsid w:val="00624B7E"/>
    <w:rsid w:val="006314D3"/>
    <w:rsid w:val="0063299A"/>
    <w:rsid w:val="00636417"/>
    <w:rsid w:val="00647274"/>
    <w:rsid w:val="00650CCB"/>
    <w:rsid w:val="00653A93"/>
    <w:rsid w:val="00654924"/>
    <w:rsid w:val="00654DA2"/>
    <w:rsid w:val="00656FA4"/>
    <w:rsid w:val="006637D2"/>
    <w:rsid w:val="0066599B"/>
    <w:rsid w:val="0067248F"/>
    <w:rsid w:val="00685B8B"/>
    <w:rsid w:val="00694300"/>
    <w:rsid w:val="006A2DF8"/>
    <w:rsid w:val="006A38E2"/>
    <w:rsid w:val="006B1538"/>
    <w:rsid w:val="006B1677"/>
    <w:rsid w:val="006B2858"/>
    <w:rsid w:val="006C09FF"/>
    <w:rsid w:val="006C0BEF"/>
    <w:rsid w:val="006C0F93"/>
    <w:rsid w:val="006C328F"/>
    <w:rsid w:val="006D22E6"/>
    <w:rsid w:val="006F04F5"/>
    <w:rsid w:val="006F2AB2"/>
    <w:rsid w:val="006F69D3"/>
    <w:rsid w:val="007021B7"/>
    <w:rsid w:val="00703255"/>
    <w:rsid w:val="007076B2"/>
    <w:rsid w:val="00720D4E"/>
    <w:rsid w:val="0072411C"/>
    <w:rsid w:val="00726CE2"/>
    <w:rsid w:val="007279E3"/>
    <w:rsid w:val="007402CA"/>
    <w:rsid w:val="00742765"/>
    <w:rsid w:val="007451F0"/>
    <w:rsid w:val="0074578B"/>
    <w:rsid w:val="00746519"/>
    <w:rsid w:val="007510BE"/>
    <w:rsid w:val="00755839"/>
    <w:rsid w:val="00764F34"/>
    <w:rsid w:val="00766BF7"/>
    <w:rsid w:val="00770454"/>
    <w:rsid w:val="007732EB"/>
    <w:rsid w:val="00773F24"/>
    <w:rsid w:val="00774A91"/>
    <w:rsid w:val="00782C27"/>
    <w:rsid w:val="007838DD"/>
    <w:rsid w:val="0078396C"/>
    <w:rsid w:val="00785C81"/>
    <w:rsid w:val="00787D01"/>
    <w:rsid w:val="00791084"/>
    <w:rsid w:val="00792ECC"/>
    <w:rsid w:val="00793FCD"/>
    <w:rsid w:val="007976B3"/>
    <w:rsid w:val="007A5943"/>
    <w:rsid w:val="007B030B"/>
    <w:rsid w:val="007B3689"/>
    <w:rsid w:val="007B6B6A"/>
    <w:rsid w:val="007C3585"/>
    <w:rsid w:val="007D5B9F"/>
    <w:rsid w:val="007E2384"/>
    <w:rsid w:val="007F0977"/>
    <w:rsid w:val="007F24DB"/>
    <w:rsid w:val="007F26BB"/>
    <w:rsid w:val="007F4110"/>
    <w:rsid w:val="00802061"/>
    <w:rsid w:val="0080216E"/>
    <w:rsid w:val="00802BB4"/>
    <w:rsid w:val="00803FB5"/>
    <w:rsid w:val="00805624"/>
    <w:rsid w:val="00813B13"/>
    <w:rsid w:val="00825BB5"/>
    <w:rsid w:val="00826F17"/>
    <w:rsid w:val="008302E1"/>
    <w:rsid w:val="00830D00"/>
    <w:rsid w:val="00832228"/>
    <w:rsid w:val="00837264"/>
    <w:rsid w:val="00843482"/>
    <w:rsid w:val="008445E4"/>
    <w:rsid w:val="0084489D"/>
    <w:rsid w:val="00850893"/>
    <w:rsid w:val="00850F33"/>
    <w:rsid w:val="00851290"/>
    <w:rsid w:val="00851DCB"/>
    <w:rsid w:val="0085226C"/>
    <w:rsid w:val="0085284F"/>
    <w:rsid w:val="00852EF0"/>
    <w:rsid w:val="00862732"/>
    <w:rsid w:val="008630A7"/>
    <w:rsid w:val="00865A6A"/>
    <w:rsid w:val="0086611D"/>
    <w:rsid w:val="00866B0F"/>
    <w:rsid w:val="0087289E"/>
    <w:rsid w:val="00883528"/>
    <w:rsid w:val="00883AD5"/>
    <w:rsid w:val="00883B6E"/>
    <w:rsid w:val="00884BF1"/>
    <w:rsid w:val="00895A78"/>
    <w:rsid w:val="008A642E"/>
    <w:rsid w:val="008B6366"/>
    <w:rsid w:val="008B73BB"/>
    <w:rsid w:val="008C557B"/>
    <w:rsid w:val="008C5625"/>
    <w:rsid w:val="008D2E5A"/>
    <w:rsid w:val="008D560E"/>
    <w:rsid w:val="008D6391"/>
    <w:rsid w:val="008D6B33"/>
    <w:rsid w:val="008E4518"/>
    <w:rsid w:val="008E50D7"/>
    <w:rsid w:val="008E5755"/>
    <w:rsid w:val="008F631B"/>
    <w:rsid w:val="008F654A"/>
    <w:rsid w:val="00901A58"/>
    <w:rsid w:val="00903C5A"/>
    <w:rsid w:val="00915925"/>
    <w:rsid w:val="009245A4"/>
    <w:rsid w:val="0092553B"/>
    <w:rsid w:val="00926E49"/>
    <w:rsid w:val="0092760D"/>
    <w:rsid w:val="00933EA0"/>
    <w:rsid w:val="00934130"/>
    <w:rsid w:val="00937F6A"/>
    <w:rsid w:val="0094271F"/>
    <w:rsid w:val="00943238"/>
    <w:rsid w:val="0094583D"/>
    <w:rsid w:val="00946BB0"/>
    <w:rsid w:val="0094758B"/>
    <w:rsid w:val="00951571"/>
    <w:rsid w:val="009533B5"/>
    <w:rsid w:val="00953DA4"/>
    <w:rsid w:val="00956DB6"/>
    <w:rsid w:val="009602F4"/>
    <w:rsid w:val="009606F8"/>
    <w:rsid w:val="009663F7"/>
    <w:rsid w:val="00980514"/>
    <w:rsid w:val="0098286E"/>
    <w:rsid w:val="00982B2B"/>
    <w:rsid w:val="00983F2B"/>
    <w:rsid w:val="009850E2"/>
    <w:rsid w:val="009858DA"/>
    <w:rsid w:val="00987246"/>
    <w:rsid w:val="00996BD0"/>
    <w:rsid w:val="009A20B3"/>
    <w:rsid w:val="009A5CD9"/>
    <w:rsid w:val="009A66DA"/>
    <w:rsid w:val="009A7895"/>
    <w:rsid w:val="009B2F49"/>
    <w:rsid w:val="009B39AE"/>
    <w:rsid w:val="009B5AC6"/>
    <w:rsid w:val="009B6654"/>
    <w:rsid w:val="009C05DD"/>
    <w:rsid w:val="009C23C4"/>
    <w:rsid w:val="009C51B6"/>
    <w:rsid w:val="009D1F3E"/>
    <w:rsid w:val="009D2334"/>
    <w:rsid w:val="009D5E3E"/>
    <w:rsid w:val="009D6448"/>
    <w:rsid w:val="009E4E33"/>
    <w:rsid w:val="009F4EFF"/>
    <w:rsid w:val="009F5D84"/>
    <w:rsid w:val="00A03CD1"/>
    <w:rsid w:val="00A0408C"/>
    <w:rsid w:val="00A114BE"/>
    <w:rsid w:val="00A116D6"/>
    <w:rsid w:val="00A123F8"/>
    <w:rsid w:val="00A14095"/>
    <w:rsid w:val="00A208B5"/>
    <w:rsid w:val="00A20AA6"/>
    <w:rsid w:val="00A2532E"/>
    <w:rsid w:val="00A311FD"/>
    <w:rsid w:val="00A400AA"/>
    <w:rsid w:val="00A42619"/>
    <w:rsid w:val="00A45983"/>
    <w:rsid w:val="00A45C35"/>
    <w:rsid w:val="00A46EDF"/>
    <w:rsid w:val="00A54025"/>
    <w:rsid w:val="00A56B85"/>
    <w:rsid w:val="00A6365E"/>
    <w:rsid w:val="00A72301"/>
    <w:rsid w:val="00A75D40"/>
    <w:rsid w:val="00A76466"/>
    <w:rsid w:val="00A802DC"/>
    <w:rsid w:val="00A80F8E"/>
    <w:rsid w:val="00A923CD"/>
    <w:rsid w:val="00A92EF2"/>
    <w:rsid w:val="00A95065"/>
    <w:rsid w:val="00A971D2"/>
    <w:rsid w:val="00AA6FA6"/>
    <w:rsid w:val="00AA713F"/>
    <w:rsid w:val="00AB01B3"/>
    <w:rsid w:val="00AB3558"/>
    <w:rsid w:val="00AB5BDF"/>
    <w:rsid w:val="00AB6C28"/>
    <w:rsid w:val="00AC354A"/>
    <w:rsid w:val="00AC41E5"/>
    <w:rsid w:val="00AD52D6"/>
    <w:rsid w:val="00AD6ADC"/>
    <w:rsid w:val="00AD6D56"/>
    <w:rsid w:val="00AE7769"/>
    <w:rsid w:val="00AF15A8"/>
    <w:rsid w:val="00AF413E"/>
    <w:rsid w:val="00AF4DF6"/>
    <w:rsid w:val="00B001E0"/>
    <w:rsid w:val="00B02A6C"/>
    <w:rsid w:val="00B03C21"/>
    <w:rsid w:val="00B05521"/>
    <w:rsid w:val="00B107AB"/>
    <w:rsid w:val="00B11E01"/>
    <w:rsid w:val="00B13C60"/>
    <w:rsid w:val="00B15680"/>
    <w:rsid w:val="00B15F33"/>
    <w:rsid w:val="00B316E7"/>
    <w:rsid w:val="00B41D85"/>
    <w:rsid w:val="00B425BB"/>
    <w:rsid w:val="00B432A4"/>
    <w:rsid w:val="00B508BD"/>
    <w:rsid w:val="00B52963"/>
    <w:rsid w:val="00B540AD"/>
    <w:rsid w:val="00B62FD1"/>
    <w:rsid w:val="00B669BC"/>
    <w:rsid w:val="00B73F16"/>
    <w:rsid w:val="00B743B5"/>
    <w:rsid w:val="00B86F14"/>
    <w:rsid w:val="00B901B3"/>
    <w:rsid w:val="00B942BF"/>
    <w:rsid w:val="00B9762F"/>
    <w:rsid w:val="00BA4052"/>
    <w:rsid w:val="00BA482A"/>
    <w:rsid w:val="00BB1559"/>
    <w:rsid w:val="00BB7E6C"/>
    <w:rsid w:val="00BC243A"/>
    <w:rsid w:val="00BC33D8"/>
    <w:rsid w:val="00BC3EA5"/>
    <w:rsid w:val="00BD6741"/>
    <w:rsid w:val="00BE1545"/>
    <w:rsid w:val="00BE7F9D"/>
    <w:rsid w:val="00BF4F29"/>
    <w:rsid w:val="00C002A9"/>
    <w:rsid w:val="00C00CC5"/>
    <w:rsid w:val="00C025D0"/>
    <w:rsid w:val="00C0292D"/>
    <w:rsid w:val="00C06ED0"/>
    <w:rsid w:val="00C139C2"/>
    <w:rsid w:val="00C13C58"/>
    <w:rsid w:val="00C1444A"/>
    <w:rsid w:val="00C148EF"/>
    <w:rsid w:val="00C22CB1"/>
    <w:rsid w:val="00C277C2"/>
    <w:rsid w:val="00C4576E"/>
    <w:rsid w:val="00C570A3"/>
    <w:rsid w:val="00C577EA"/>
    <w:rsid w:val="00C87933"/>
    <w:rsid w:val="00C87F49"/>
    <w:rsid w:val="00C9081B"/>
    <w:rsid w:val="00C97311"/>
    <w:rsid w:val="00CA111F"/>
    <w:rsid w:val="00CB3FDB"/>
    <w:rsid w:val="00CC1D48"/>
    <w:rsid w:val="00CC2CBF"/>
    <w:rsid w:val="00CC652E"/>
    <w:rsid w:val="00CD26B7"/>
    <w:rsid w:val="00CD44D7"/>
    <w:rsid w:val="00CD517E"/>
    <w:rsid w:val="00CE4872"/>
    <w:rsid w:val="00CE4A7A"/>
    <w:rsid w:val="00CF3A02"/>
    <w:rsid w:val="00CF3BAA"/>
    <w:rsid w:val="00D06C14"/>
    <w:rsid w:val="00D117B1"/>
    <w:rsid w:val="00D15DFA"/>
    <w:rsid w:val="00D25E1E"/>
    <w:rsid w:val="00D30D3B"/>
    <w:rsid w:val="00D31ACF"/>
    <w:rsid w:val="00D43E9C"/>
    <w:rsid w:val="00D44196"/>
    <w:rsid w:val="00D44ACB"/>
    <w:rsid w:val="00D44FAF"/>
    <w:rsid w:val="00D46B39"/>
    <w:rsid w:val="00D53103"/>
    <w:rsid w:val="00D53F84"/>
    <w:rsid w:val="00D5509C"/>
    <w:rsid w:val="00D55FCA"/>
    <w:rsid w:val="00D56B0B"/>
    <w:rsid w:val="00D56E00"/>
    <w:rsid w:val="00D7177B"/>
    <w:rsid w:val="00D762BC"/>
    <w:rsid w:val="00D81E1E"/>
    <w:rsid w:val="00D90D48"/>
    <w:rsid w:val="00D943D2"/>
    <w:rsid w:val="00DA22F7"/>
    <w:rsid w:val="00DA3312"/>
    <w:rsid w:val="00DA36A7"/>
    <w:rsid w:val="00DA6174"/>
    <w:rsid w:val="00DA745E"/>
    <w:rsid w:val="00DC4D12"/>
    <w:rsid w:val="00DC7EC3"/>
    <w:rsid w:val="00DD2021"/>
    <w:rsid w:val="00DD4430"/>
    <w:rsid w:val="00DD6489"/>
    <w:rsid w:val="00DE290D"/>
    <w:rsid w:val="00DE31DD"/>
    <w:rsid w:val="00DF0EB6"/>
    <w:rsid w:val="00DF4E86"/>
    <w:rsid w:val="00DF5BCE"/>
    <w:rsid w:val="00DF6A5E"/>
    <w:rsid w:val="00E00218"/>
    <w:rsid w:val="00E17CB6"/>
    <w:rsid w:val="00E222A6"/>
    <w:rsid w:val="00E316C0"/>
    <w:rsid w:val="00E366DD"/>
    <w:rsid w:val="00E37E98"/>
    <w:rsid w:val="00E43C9C"/>
    <w:rsid w:val="00E44723"/>
    <w:rsid w:val="00E45968"/>
    <w:rsid w:val="00E52022"/>
    <w:rsid w:val="00E55980"/>
    <w:rsid w:val="00E72C7B"/>
    <w:rsid w:val="00E7346A"/>
    <w:rsid w:val="00E751DD"/>
    <w:rsid w:val="00E772F4"/>
    <w:rsid w:val="00E77F7E"/>
    <w:rsid w:val="00E83728"/>
    <w:rsid w:val="00E86F93"/>
    <w:rsid w:val="00E96AAA"/>
    <w:rsid w:val="00E96C68"/>
    <w:rsid w:val="00E96C7E"/>
    <w:rsid w:val="00EA17F6"/>
    <w:rsid w:val="00EA1E06"/>
    <w:rsid w:val="00EA5296"/>
    <w:rsid w:val="00EA6693"/>
    <w:rsid w:val="00EB0383"/>
    <w:rsid w:val="00EC73AC"/>
    <w:rsid w:val="00ED156E"/>
    <w:rsid w:val="00ED4188"/>
    <w:rsid w:val="00ED429E"/>
    <w:rsid w:val="00ED74B3"/>
    <w:rsid w:val="00ED785A"/>
    <w:rsid w:val="00EE0410"/>
    <w:rsid w:val="00EF0A08"/>
    <w:rsid w:val="00EF1A91"/>
    <w:rsid w:val="00EF3341"/>
    <w:rsid w:val="00EF58E6"/>
    <w:rsid w:val="00EF6260"/>
    <w:rsid w:val="00F019CC"/>
    <w:rsid w:val="00F0530E"/>
    <w:rsid w:val="00F1261C"/>
    <w:rsid w:val="00F13598"/>
    <w:rsid w:val="00F14426"/>
    <w:rsid w:val="00F17F7C"/>
    <w:rsid w:val="00F212D4"/>
    <w:rsid w:val="00F21CE3"/>
    <w:rsid w:val="00F25533"/>
    <w:rsid w:val="00F34790"/>
    <w:rsid w:val="00F34FC1"/>
    <w:rsid w:val="00F3571B"/>
    <w:rsid w:val="00F35844"/>
    <w:rsid w:val="00F4196E"/>
    <w:rsid w:val="00F4239E"/>
    <w:rsid w:val="00F423EC"/>
    <w:rsid w:val="00F52AC6"/>
    <w:rsid w:val="00F53017"/>
    <w:rsid w:val="00F5384A"/>
    <w:rsid w:val="00F56D54"/>
    <w:rsid w:val="00F57777"/>
    <w:rsid w:val="00F618B4"/>
    <w:rsid w:val="00F6280E"/>
    <w:rsid w:val="00F63373"/>
    <w:rsid w:val="00F67FA7"/>
    <w:rsid w:val="00F70E26"/>
    <w:rsid w:val="00F712BD"/>
    <w:rsid w:val="00F7206C"/>
    <w:rsid w:val="00F72736"/>
    <w:rsid w:val="00F73E31"/>
    <w:rsid w:val="00F8209D"/>
    <w:rsid w:val="00F8555B"/>
    <w:rsid w:val="00F86E12"/>
    <w:rsid w:val="00F94583"/>
    <w:rsid w:val="00F948C1"/>
    <w:rsid w:val="00F97E5B"/>
    <w:rsid w:val="00FA2132"/>
    <w:rsid w:val="00FA4900"/>
    <w:rsid w:val="00FA5DCE"/>
    <w:rsid w:val="00FA6085"/>
    <w:rsid w:val="00FA798C"/>
    <w:rsid w:val="00FB020E"/>
    <w:rsid w:val="00FB461F"/>
    <w:rsid w:val="00FC16EF"/>
    <w:rsid w:val="00FC568E"/>
    <w:rsid w:val="00FC5D07"/>
    <w:rsid w:val="00FC7AD7"/>
    <w:rsid w:val="00FD0F99"/>
    <w:rsid w:val="00FD53DF"/>
    <w:rsid w:val="00FD7B9E"/>
    <w:rsid w:val="00FE331A"/>
    <w:rsid w:val="00FE3D44"/>
    <w:rsid w:val="00FE3DBD"/>
    <w:rsid w:val="00FE57E3"/>
    <w:rsid w:val="00FE5E2C"/>
    <w:rsid w:val="00FF4173"/>
    <w:rsid w:val="00FF575E"/>
    <w:rsid w:val="00FF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0AD433"/>
  <w14:defaultImageDpi w14:val="300"/>
  <w15:docId w15:val="{B5ED4E0D-6870-4A42-874A-1D7D53E9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66DD"/>
  </w:style>
  <w:style w:type="character" w:customStyle="1" w:styleId="FootnoteTextChar">
    <w:name w:val="Footnote Text Char"/>
    <w:basedOn w:val="DefaultParagraphFont"/>
    <w:link w:val="FootnoteText"/>
    <w:uiPriority w:val="99"/>
    <w:rsid w:val="00E366DD"/>
  </w:style>
  <w:style w:type="character" w:styleId="FootnoteReference">
    <w:name w:val="footnote reference"/>
    <w:basedOn w:val="DefaultParagraphFont"/>
    <w:uiPriority w:val="99"/>
    <w:unhideWhenUsed/>
    <w:rsid w:val="00E366DD"/>
    <w:rPr>
      <w:vertAlign w:val="superscript"/>
    </w:rPr>
  </w:style>
  <w:style w:type="paragraph" w:styleId="Header">
    <w:name w:val="header"/>
    <w:basedOn w:val="Normal"/>
    <w:link w:val="HeaderChar"/>
    <w:uiPriority w:val="99"/>
    <w:unhideWhenUsed/>
    <w:rsid w:val="00C4576E"/>
    <w:pPr>
      <w:tabs>
        <w:tab w:val="center" w:pos="4320"/>
        <w:tab w:val="right" w:pos="8640"/>
      </w:tabs>
    </w:pPr>
  </w:style>
  <w:style w:type="character" w:customStyle="1" w:styleId="HeaderChar">
    <w:name w:val="Header Char"/>
    <w:basedOn w:val="DefaultParagraphFont"/>
    <w:link w:val="Header"/>
    <w:uiPriority w:val="99"/>
    <w:rsid w:val="00C4576E"/>
  </w:style>
  <w:style w:type="character" w:styleId="PageNumber">
    <w:name w:val="page number"/>
    <w:basedOn w:val="DefaultParagraphFont"/>
    <w:uiPriority w:val="99"/>
    <w:semiHidden/>
    <w:unhideWhenUsed/>
    <w:rsid w:val="00C4576E"/>
  </w:style>
  <w:style w:type="character" w:styleId="Hyperlink">
    <w:name w:val="Hyperlink"/>
    <w:basedOn w:val="DefaultParagraphFont"/>
    <w:uiPriority w:val="99"/>
    <w:unhideWhenUsed/>
    <w:rsid w:val="00BC24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tmacher.org/pubs/gpr/17/1/gpr17010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undtexaschoice.org/resources/texas-abortion-clinic-ma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texas.edu/cola/orgs/tx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CA3261E-8EE8-474B-9829-F437119E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5709</Words>
  <Characters>32544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Waligurski</dc:creator>
  <cp:keywords/>
  <dc:description/>
  <cp:lastModifiedBy>Shannon M Chillson</cp:lastModifiedBy>
  <cp:revision>2</cp:revision>
  <cp:lastPrinted>2015-11-12T22:26:00Z</cp:lastPrinted>
  <dcterms:created xsi:type="dcterms:W3CDTF">2016-03-21T19:36:00Z</dcterms:created>
  <dcterms:modified xsi:type="dcterms:W3CDTF">2016-03-21T19:36:00Z</dcterms:modified>
</cp:coreProperties>
</file>