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Montserrat" w:cs="Montserrat" w:eastAsia="Montserrat" w:hAnsi="Montserrat"/>
          <w:b w:val="0"/>
        </w:rPr>
      </w:pPr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Penfield Library Reserves Request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complete one form for each course. You can email the completed form(s) to </w:t>
      </w:r>
      <w:hyperlink r:id="rId7">
        <w:r w:rsidDel="00000000" w:rsidR="00000000" w:rsidRPr="00000000">
          <w:rPr>
            <w:rFonts w:ascii="Montserrat" w:cs="Montserrat" w:eastAsia="Montserrat" w:hAnsi="Montserrat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reserves@oswego.edu</w:t>
        </w:r>
      </w:hyperlink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or return it in person at the Check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&amp;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Reserves Desk at Penfield Library.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additional pages as necessary.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allow one week for all reserve requests to be processed. All reserves will be removed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at the end of the semester, unless otherwise indicated.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7"/>
        <w:gridCol w:w="4683"/>
        <w:tblGridChange w:id="0">
          <w:tblGrid>
            <w:gridCol w:w="4667"/>
            <w:gridCol w:w="4683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Instructor name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Laker NetID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number / prefix (ex. NAS 390)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title (ex. Images of Native Americans in Film)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submitted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Anticipated enrollment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Course cross-listings (ex. ENG 390, AMS 400)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rFonts w:ascii="Montserrat" w:cs="Montserrat" w:eastAsia="Montserrat" w:hAnsi="Montserrat"/>
          <w:b w:val="0"/>
        </w:rPr>
      </w:pPr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REQUIRED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aaaaaa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I understand and will comply with all copyright rules and the Penfield Library Reserves Contract (attached below).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use the following guidelines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2"/>
        <w:tblW w:w="92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"/>
        <w:gridCol w:w="8985"/>
        <w:tblGridChange w:id="0">
          <w:tblGrid>
            <w:gridCol w:w="255"/>
            <w:gridCol w:w="8985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aaaaa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If you have personal copies you wish to place on reserve, bring the items to the Checkout &amp; Reserves Desk as soon as possible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If the library owns the items, please give us as much information as possible so that we can identify the correct resource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Montserrat" w:cs="Montserrat" w:eastAsia="Montserrat" w:hAnsi="Montserrat"/>
                <w:color w:val="aa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Montserrat" w:cs="Montserrat" w:eastAsia="Montserrat" w:hAnsi="Montserrat"/>
                <w:color w:val="aaaaa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firstLine="0"/>
              <w:jc w:val="left"/>
              <w:rPr>
                <w:rFonts w:ascii="Montserrat" w:cs="Montserrat" w:eastAsia="Montserrat" w:hAnsi="Montserrat"/>
                <w:color w:val="aaaaa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aaaaa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aaaaa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aaaaa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3"/>
        <w:gridCol w:w="4647"/>
        <w:tblGridChange w:id="0">
          <w:tblGrid>
            <w:gridCol w:w="4703"/>
            <w:gridCol w:w="4647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Title (as it should appear in our reserves system)</w:t>
            </w:r>
          </w:p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Length of reserve (ex. Fall semester, permanent, etc.)</w:t>
            </w:r>
          </w:p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Loan period (1 hour, 2 hours, 3 hours, 3 days, 1 week)</w:t>
            </w:r>
          </w:p>
          <w:p w:rsidR="00000000" w:rsidDel="00000000" w:rsidP="00000000" w:rsidRDefault="00000000" w:rsidRPr="00000000" w14:paraId="0000003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Library owned materials: any additional information (author, year, call number, etc.)</w:t>
            </w:r>
          </w:p>
          <w:p w:rsidR="00000000" w:rsidDel="00000000" w:rsidP="00000000" w:rsidRDefault="00000000" w:rsidRPr="00000000" w14:paraId="0000003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For articles: database URL (permanent URL, permalink, durable link, persistent link, or stable URL)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Montserrat" w:cs="Montserrat" w:eastAsia="Montserrat" w:hAnsi="Montserrat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How to: Persistent URL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3"/>
        <w:gridCol w:w="4647"/>
        <w:tblGridChange w:id="0">
          <w:tblGrid>
            <w:gridCol w:w="4703"/>
            <w:gridCol w:w="4647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Title (as it should appear in our reserves system)</w:t>
            </w:r>
          </w:p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Length of reserve (ex. Fall semester, permanent, etc.)</w:t>
            </w:r>
          </w:p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Loan period (1 hour, 2 hours, 3 hours, 3 days, 1 week)</w:t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Library owned materials: any additional information (author, year, call number, etc.)</w:t>
            </w:r>
          </w:p>
          <w:p w:rsidR="00000000" w:rsidDel="00000000" w:rsidP="00000000" w:rsidRDefault="00000000" w:rsidRPr="00000000" w14:paraId="0000005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For 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rticles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: database URL (permanent URL, permalink, durable link, persistent link, or stable URL)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How to: Persistent URL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3"/>
        <w:gridCol w:w="4647"/>
        <w:tblGridChange w:id="0">
          <w:tblGrid>
            <w:gridCol w:w="4703"/>
            <w:gridCol w:w="4647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5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Title (as it should appear in our reserves system)</w:t>
            </w:r>
          </w:p>
          <w:p w:rsidR="00000000" w:rsidDel="00000000" w:rsidP="00000000" w:rsidRDefault="00000000" w:rsidRPr="00000000" w14:paraId="0000005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Length of reserve (ex. Fall semester, permanent, etc.)</w:t>
            </w:r>
          </w:p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Loan period (1 hour, 2 hours, 3 hours, 3 days, 1 week)</w:t>
            </w:r>
          </w:p>
          <w:p w:rsidR="00000000" w:rsidDel="00000000" w:rsidP="00000000" w:rsidRDefault="00000000" w:rsidRPr="00000000" w14:paraId="0000006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For library owned materials: any additional information (author, year, call number, etc.)</w:t>
            </w:r>
          </w:p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For a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rticles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: database URL (permanent URL, permalink, durable link, persistent link, or stable URL) </w:t>
            </w:r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How to: Persistent URL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3"/>
        <w:rPr>
          <w:rFonts w:ascii="Montserrat" w:cs="Montserrat" w:eastAsia="Montserrat" w:hAnsi="Montserrat"/>
          <w:b w:val="0"/>
        </w:rPr>
      </w:pPr>
      <w:r w:rsidDel="00000000" w:rsidR="00000000" w:rsidRPr="00000000">
        <w:rPr>
          <w:rFonts w:ascii="Montserrat" w:cs="Montserrat" w:eastAsia="Montserrat" w:hAnsi="Montserrat"/>
          <w:b w:val="0"/>
          <w:rtl w:val="0"/>
        </w:rPr>
        <w:t xml:space="preserve">Penfield Library Reserves Contract</w:t>
      </w:r>
    </w:p>
    <w:p w:rsidR="00000000" w:rsidDel="00000000" w:rsidP="00000000" w:rsidRDefault="00000000" w:rsidRPr="00000000" w14:paraId="0000007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The purpose of this document is to pre-empt any misunderstandings between faculty and library staff on the issue of copyright and e-reserves processing at Penfield Library.  We require one week to process your reserve items.  </w:t>
      </w:r>
    </w:p>
    <w:p w:rsidR="00000000" w:rsidDel="00000000" w:rsidP="00000000" w:rsidRDefault="00000000" w:rsidRPr="00000000" w14:paraId="00000074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If you have any questions or concerns, please contact the Reserves Unit either by email or phone (</w:t>
      </w:r>
      <w:hyperlink r:id="rId11">
        <w:r w:rsidDel="00000000" w:rsidR="00000000" w:rsidRPr="00000000">
          <w:rPr>
            <w:rFonts w:ascii="Montserrat" w:cs="Montserrat" w:eastAsia="Montserrat" w:hAnsi="Montserrat"/>
            <w:color w:val="0000ff"/>
            <w:sz w:val="22"/>
            <w:szCs w:val="22"/>
            <w:u w:val="single"/>
            <w:rtl w:val="0"/>
          </w:rPr>
          <w:t xml:space="preserve">reserves@oswego.edu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or 315-312-4268).  </w:t>
      </w:r>
    </w:p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Types of Materials that can be placed on reserve: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111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Circulating materials (books, videos, music discs, etc.)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111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Personal materials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111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E-reserves: </w:t>
      </w:r>
    </w:p>
    <w:p w:rsidR="00000000" w:rsidDel="00000000" w:rsidP="00000000" w:rsidRDefault="00000000" w:rsidRPr="00000000" w14:paraId="0000007B">
      <w:pPr>
        <w:numPr>
          <w:ilvl w:val="1"/>
          <w:numId w:val="3"/>
        </w:numPr>
        <w:ind w:left="183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links to articles in our databases</w:t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ind w:left="183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links to ebooks</w:t>
      </w:r>
    </w:p>
    <w:p w:rsidR="00000000" w:rsidDel="00000000" w:rsidP="00000000" w:rsidRDefault="00000000" w:rsidRPr="00000000" w14:paraId="0000007D">
      <w:pPr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Montserrat" w:cs="Montserrat" w:eastAsia="Montserrat" w:hAnsi="Montserrat"/>
          <w:u w:val="single"/>
        </w:rPr>
      </w:pPr>
      <w:r w:rsidDel="00000000" w:rsidR="00000000" w:rsidRPr="00000000">
        <w:rPr>
          <w:rFonts w:ascii="Montserrat" w:cs="Montserrat" w:eastAsia="Montserrat" w:hAnsi="Montserrat"/>
          <w:u w:val="single"/>
          <w:rtl w:val="0"/>
        </w:rPr>
        <w:t xml:space="preserve">What we cannot put on reserve: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108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Interlibrary loan materials or materials from other libraries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108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Reference materials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Reference materials that need to be used for class can be placed on ready reference.  Contact the Coordinator of Reference, Chris Hebblethwaite  (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0000ff"/>
            <w:sz w:val="22"/>
            <w:szCs w:val="22"/>
            <w:u w:val="single"/>
            <w:rtl w:val="0"/>
          </w:rPr>
          <w:t xml:space="preserve">chris.hebblethwaite@oswego.edu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) with requests.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108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Items from Special Collections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ind w:left="1110" w:hanging="360"/>
        <w:rPr>
          <w:rFonts w:ascii="Montserrat" w:cs="Montserrat" w:eastAsia="Montserrat" w:hAnsi="Montserrat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Electronic documents (.pdf, .doc, .docx, .ppt, .pptx, etc.)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108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Materials that exceed fair use. Below are some general guidelines to determine fair use: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No more than 10% or 1 chapter from a book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One short story, short essay, or short poem 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One article from a journal or newspaper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One chart, diagram, graph, drawing, or picture from a book, periodical, or newspaper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80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Up to 10% but not more than 30 seconds of a music recording or music video</w:t>
      </w:r>
    </w:p>
    <w:p w:rsidR="00000000" w:rsidDel="00000000" w:rsidP="00000000" w:rsidRDefault="00000000" w:rsidRPr="00000000" w14:paraId="0000008A">
      <w:pPr>
        <w:ind w:left="144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(Anything published before 1924 is in the public domain, and is exempt from these requirements.)</w:t>
      </w:r>
    </w:p>
    <w:sectPr>
      <w:footerReference r:id="rId13" w:type="default"/>
      <w:pgSz w:h="15840" w:w="12240"/>
      <w:pgMar w:bottom="720" w:top="720" w:left="1440" w:right="1440" w:header="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4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440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August 2019: EK</w:t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1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i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</w:pPr>
    <w:rPr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732EA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3732EA"/>
    <w:pPr>
      <w:keepNext w:val="1"/>
      <w:outlineLvl w:val="0"/>
    </w:pPr>
    <w:rPr>
      <w:b w:val="1"/>
      <w:bCs w:val="1"/>
    </w:rPr>
  </w:style>
  <w:style w:type="paragraph" w:styleId="Heading2">
    <w:name w:val="heading 2"/>
    <w:basedOn w:val="Normal"/>
    <w:next w:val="Normal"/>
    <w:qFormat w:val="1"/>
    <w:rsid w:val="001363D3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Heading3">
    <w:name w:val="heading 3"/>
    <w:basedOn w:val="Normal"/>
    <w:next w:val="Normal"/>
    <w:qFormat w:val="1"/>
    <w:rsid w:val="001363D3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Heading5">
    <w:name w:val="heading 5"/>
    <w:basedOn w:val="Normal"/>
    <w:next w:val="Normal"/>
    <w:qFormat w:val="1"/>
    <w:rsid w:val="003732EA"/>
    <w:pPr>
      <w:keepNext w:val="1"/>
      <w:jc w:val="center"/>
      <w:outlineLvl w:val="4"/>
    </w:pPr>
    <w:rPr>
      <w:i w:val="1"/>
      <w:iCs w:val="1"/>
      <w:sz w:val="20"/>
    </w:rPr>
  </w:style>
  <w:style w:type="paragraph" w:styleId="Heading6">
    <w:name w:val="heading 6"/>
    <w:basedOn w:val="Normal"/>
    <w:next w:val="Normal"/>
    <w:qFormat w:val="1"/>
    <w:rsid w:val="003732EA"/>
    <w:pPr>
      <w:keepNext w:val="1"/>
      <w:outlineLvl w:val="5"/>
    </w:pPr>
    <w:rPr>
      <w:i w:val="1"/>
      <w:iCs w:val="1"/>
      <w:sz w:val="20"/>
    </w:rPr>
  </w:style>
  <w:style w:type="paragraph" w:styleId="Heading7">
    <w:name w:val="heading 7"/>
    <w:basedOn w:val="Normal"/>
    <w:next w:val="Normal"/>
    <w:qFormat w:val="1"/>
    <w:rsid w:val="003732EA"/>
    <w:pPr>
      <w:keepNext w:val="1"/>
      <w:outlineLvl w:val="6"/>
    </w:pPr>
    <w:rPr>
      <w:i w:val="1"/>
      <w:iCs w:val="1"/>
      <w:sz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sid w:val="003732EA"/>
    <w:rPr>
      <w:b w:val="1"/>
      <w:bCs w:val="1"/>
    </w:rPr>
  </w:style>
  <w:style w:type="character" w:styleId="Hyperlink">
    <w:name w:val="Hyperlink"/>
    <w:basedOn w:val="DefaultParagraphFont"/>
    <w:rsid w:val="003732EA"/>
    <w:rPr>
      <w:color w:val="0000ff"/>
      <w:u w:val="single"/>
    </w:rPr>
  </w:style>
  <w:style w:type="paragraph" w:styleId="NormalWeb">
    <w:name w:val="Normal (Web)"/>
    <w:basedOn w:val="Normal"/>
    <w:uiPriority w:val="99"/>
    <w:rsid w:val="00EC73A8"/>
    <w:pPr>
      <w:spacing w:after="100" w:afterAutospacing="1" w:before="100" w:beforeAutospacing="1"/>
    </w:pPr>
  </w:style>
  <w:style w:type="paragraph" w:styleId="Header">
    <w:name w:val="header"/>
    <w:basedOn w:val="Normal"/>
    <w:rsid w:val="005D03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03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0610"/>
  </w:style>
  <w:style w:type="character" w:styleId="FollowedHyperlink">
    <w:name w:val="FollowedHyperlink"/>
    <w:basedOn w:val="DefaultParagraphFont"/>
    <w:rsid w:val="00D25335"/>
    <w:rPr>
      <w:color w:val="800080"/>
      <w:u w:val="single"/>
    </w:rPr>
  </w:style>
  <w:style w:type="paragraph" w:styleId="BalloonText">
    <w:name w:val="Balloon Text"/>
    <w:basedOn w:val="Normal"/>
    <w:semiHidden w:val="1"/>
    <w:rsid w:val="00D70031"/>
    <w:rPr>
      <w:rFonts w:ascii="Tahoma" w:cs="Tahoma" w:hAnsi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513F6B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AF540E"/>
    <w:pPr>
      <w:ind w:left="720"/>
      <w:contextualSpacing w:val="1"/>
    </w:pPr>
  </w:style>
  <w:style w:type="character" w:styleId="apple-converted-space" w:customStyle="1">
    <w:name w:val="apple-converted-space"/>
    <w:basedOn w:val="DefaultParagraphFont"/>
    <w:rsid w:val="005654C3"/>
  </w:style>
  <w:style w:type="table" w:styleId="TableGrid">
    <w:name w:val="Table Grid"/>
    <w:basedOn w:val="TableNormal"/>
    <w:rsid w:val="00E756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oswego.edu/library/circ/reserves@oswego.edu" TargetMode="External"/><Relationship Id="rId10" Type="http://schemas.openxmlformats.org/officeDocument/2006/relationships/hyperlink" Target="https://www.oswego.edu/library/sites/www.oswego.edu.library/files/providing-url-to-journal-article.docx" TargetMode="External"/><Relationship Id="rId13" Type="http://schemas.openxmlformats.org/officeDocument/2006/relationships/footer" Target="footer1.xml"/><Relationship Id="rId12" Type="http://schemas.openxmlformats.org/officeDocument/2006/relationships/hyperlink" Target="mailto:chris.hebblethwaite@oswego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swego.edu/library/sites/www.oswego.edu.library/files/providing-url-to-journal-article.doc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serves@oswego.edu" TargetMode="External"/><Relationship Id="rId8" Type="http://schemas.openxmlformats.org/officeDocument/2006/relationships/hyperlink" Target="https://www.oswego.edu/library/sites/www.oswego.edu.library/files/providing-url-to-journal-article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7vf5QzXaMmJHTDu4Qiw/TC9BGA==">AMUW2mUCbplmWtn69TcFQNFbyrcJ+KPIxuKCLRr8tyVANyPqN6vqAtbDO90Xy2xwuzsZPGoISOzz/ISSyzoO//JY/wauUl4RaZnhEmhy8ELlxNNvUInoq4fzdyMRSNIsGf836oLs9cjO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2019-08-21T20:37:00Z</dcterms:created>
  <dc:creator>URBANEK</dc:creator>
</cp:coreProperties>
</file>