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44" w:rsidRDefault="000A0942">
      <w:pPr>
        <w:spacing w:before="155"/>
        <w:ind w:left="520" w:right="6469"/>
        <w:rPr>
          <w:rFonts w:ascii="Bell MT"/>
          <w:b/>
          <w:sz w:val="56"/>
        </w:rPr>
      </w:pPr>
      <w:r>
        <w:rPr>
          <w:noProof/>
          <w:lang w:bidi="ar-SA"/>
        </w:rPr>
        <w:pict>
          <v:shapetype id="_x0000_t202" coordsize="21600,21600" o:spt="202" path="m,l,21600r21600,l21600,xe">
            <v:stroke joinstyle="miter"/>
            <v:path gradientshapeok="t" o:connecttype="rect"/>
          </v:shapetype>
          <v:shape id="_x0000_s1106" type="#_x0000_t202" style="position:absolute;left:0;text-align:left;margin-left:316.25pt;margin-top:1.05pt;width:192pt;height:82.7pt;z-index:251673088" stroked="f">
            <v:textbox style="mso-next-textbox:#_x0000_s1106">
              <w:txbxContent>
                <w:p w:rsidR="001F5B29" w:rsidRDefault="001F5B29">
                  <w:r>
                    <w:rPr>
                      <w:noProof/>
                      <w:lang w:bidi="ar-SA"/>
                    </w:rPr>
                    <w:drawing>
                      <wp:inline distT="0" distB="0" distL="0" distR="0">
                        <wp:extent cx="2089785" cy="949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t break spring.PNG"/>
                                <pic:cNvPicPr/>
                              </pic:nvPicPr>
                              <pic:blipFill>
                                <a:blip r:embed="rId5">
                                  <a:extLst>
                                    <a:ext uri="{28A0092B-C50C-407E-A947-70E740481C1C}">
                                      <a14:useLocalDpi xmlns:a14="http://schemas.microsoft.com/office/drawing/2010/main" val="0"/>
                                    </a:ext>
                                  </a:extLst>
                                </a:blip>
                                <a:stretch>
                                  <a:fillRect/>
                                </a:stretch>
                              </pic:blipFill>
                              <pic:spPr>
                                <a:xfrm>
                                  <a:off x="0" y="0"/>
                                  <a:ext cx="2089785" cy="949325"/>
                                </a:xfrm>
                                <a:prstGeom prst="rect">
                                  <a:avLst/>
                                </a:prstGeom>
                              </pic:spPr>
                            </pic:pic>
                          </a:graphicData>
                        </a:graphic>
                      </wp:inline>
                    </w:drawing>
                  </w:r>
                </w:p>
              </w:txbxContent>
            </v:textbox>
          </v:shape>
        </w:pict>
      </w:r>
      <w:r>
        <w:pict>
          <v:line id="_x0000_s1099" style="position:absolute;left:0;text-align:left;z-index:251644416;mso-position-horizontal-relative:page;mso-position-vertical-relative:text" from="310.5pt,1.05pt" to="310.5pt,73.8pt" strokecolor="#ffc000" strokeweight="4.56pt">
            <w10:wrap anchorx="page"/>
          </v:line>
        </w:pict>
      </w:r>
      <w:r w:rsidR="00E92030">
        <w:rPr>
          <w:rFonts w:ascii="Bell MT"/>
          <w:b/>
          <w:color w:val="385623"/>
          <w:sz w:val="56"/>
        </w:rPr>
        <w:t>SUNY Oswego Community Services</w:t>
      </w:r>
    </w:p>
    <w:p w:rsidR="00B66B44" w:rsidRDefault="00B66B44">
      <w:pPr>
        <w:pStyle w:val="BodyText"/>
        <w:rPr>
          <w:rFonts w:ascii="Bell MT"/>
          <w:b/>
          <w:sz w:val="20"/>
        </w:rPr>
      </w:pPr>
    </w:p>
    <w:p w:rsidR="00B66B44" w:rsidRDefault="00B66B44">
      <w:pPr>
        <w:pStyle w:val="BodyText"/>
        <w:rPr>
          <w:rFonts w:ascii="Bell MT"/>
          <w:b/>
          <w:sz w:val="20"/>
        </w:rPr>
      </w:pPr>
    </w:p>
    <w:p w:rsidR="00B66B44" w:rsidRDefault="00B66B44">
      <w:pPr>
        <w:pStyle w:val="BodyText"/>
        <w:spacing w:before="2"/>
        <w:rPr>
          <w:rFonts w:ascii="Bell MT"/>
          <w:b/>
          <w:sz w:val="22"/>
        </w:rPr>
      </w:pPr>
    </w:p>
    <w:p w:rsidR="00B66B44" w:rsidRDefault="00E92030">
      <w:pPr>
        <w:pStyle w:val="Heading2"/>
        <w:spacing w:before="100"/>
      </w:pPr>
      <w:r>
        <w:t>The State University of New York at Oswego’s Alternative Break Program</w:t>
      </w:r>
    </w:p>
    <w:p w:rsidR="00B66B44" w:rsidRDefault="00E92030">
      <w:pPr>
        <w:spacing w:line="311" w:lineRule="exact"/>
        <w:ind w:left="45" w:right="243"/>
        <w:jc w:val="center"/>
        <w:rPr>
          <w:rFonts w:ascii="Bell MT" w:hAnsi="Bell MT"/>
          <w:sz w:val="28"/>
        </w:rPr>
      </w:pPr>
      <w:r>
        <w:rPr>
          <w:rFonts w:ascii="Bell MT" w:hAnsi="Bell MT"/>
          <w:sz w:val="28"/>
        </w:rPr>
        <w:t>Spring Break 2019: March 16 – 24</w:t>
      </w:r>
    </w:p>
    <w:p w:rsidR="00B66B44" w:rsidRDefault="000A0942">
      <w:pPr>
        <w:pStyle w:val="BodyText"/>
        <w:spacing w:before="3"/>
        <w:rPr>
          <w:rFonts w:ascii="Bell MT"/>
          <w:sz w:val="29"/>
        </w:rPr>
      </w:pPr>
      <w:bookmarkStart w:id="0" w:name="_GoBack"/>
      <w:bookmarkEnd w:id="0"/>
      <w:r>
        <w:pict>
          <v:group id="_x0000_s1094" style="position:absolute;margin-left:37.65pt;margin-top:18.75pt;width:506.35pt;height:379.85pt;z-index:-251653632;mso-wrap-distance-left:0;mso-wrap-distance-right:0;mso-position-horizontal-relative:page" coordorigin="753,375" coordsize="10127,7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753;top:374;width:5034;height:3771">
              <v:imagedata r:id="rId6" o:title=""/>
            </v:shape>
            <v:shape id="_x0000_s1097" type="#_x0000_t75" style="position:absolute;left:5851;top:374;width:5029;height:3771">
              <v:imagedata r:id="rId7" o:title=""/>
            </v:shape>
            <v:shape id="_x0000_s1096" type="#_x0000_t75" style="position:absolute;left:1989;top:4210;width:3784;height:3756">
              <v:imagedata r:id="rId8" o:title=""/>
            </v:shape>
            <v:shape id="_x0000_s1095" type="#_x0000_t75" style="position:absolute;left:5864;top:4210;width:3299;height:3761">
              <v:imagedata r:id="rId9" o:title=""/>
            </v:shape>
            <w10:wrap type="topAndBottom" anchorx="page"/>
          </v:group>
        </w:pict>
      </w:r>
    </w:p>
    <w:p w:rsidR="00B66B44" w:rsidRDefault="00B66B44">
      <w:pPr>
        <w:pStyle w:val="BodyText"/>
        <w:rPr>
          <w:rFonts w:ascii="Bell MT"/>
          <w:sz w:val="26"/>
        </w:rPr>
      </w:pPr>
    </w:p>
    <w:p w:rsidR="00B66B44" w:rsidRDefault="00E92030">
      <w:pPr>
        <w:ind w:left="48" w:right="243"/>
        <w:jc w:val="center"/>
        <w:rPr>
          <w:rFonts w:ascii="Bell MT"/>
          <w:sz w:val="72"/>
        </w:rPr>
      </w:pPr>
      <w:bookmarkStart w:id="1" w:name="Alternative_Break_Info_Packet_&amp;"/>
      <w:bookmarkEnd w:id="1"/>
      <w:r>
        <w:rPr>
          <w:rFonts w:ascii="Bell MT"/>
          <w:sz w:val="72"/>
        </w:rPr>
        <w:t xml:space="preserve">Alternative </w:t>
      </w:r>
      <w:r w:rsidR="000A0942">
        <w:rPr>
          <w:rFonts w:ascii="Bell MT"/>
          <w:sz w:val="72"/>
        </w:rPr>
        <w:t xml:space="preserve">Spring </w:t>
      </w:r>
      <w:r>
        <w:rPr>
          <w:rFonts w:ascii="Bell MT"/>
          <w:sz w:val="72"/>
        </w:rPr>
        <w:t>Break Info Packet</w:t>
      </w:r>
    </w:p>
    <w:p w:rsidR="00B66B44" w:rsidRDefault="00E92030">
      <w:pPr>
        <w:spacing w:before="175"/>
        <w:ind w:left="44" w:right="243"/>
        <w:jc w:val="center"/>
        <w:rPr>
          <w:rFonts w:ascii="Bell MT"/>
          <w:sz w:val="52"/>
        </w:rPr>
      </w:pPr>
      <w:r>
        <w:rPr>
          <w:rFonts w:ascii="Bell MT"/>
          <w:sz w:val="52"/>
        </w:rPr>
        <w:t>Application Due: November 20, 2018</w:t>
      </w:r>
    </w:p>
    <w:p w:rsidR="00B66B44" w:rsidRDefault="00B66B44">
      <w:pPr>
        <w:jc w:val="center"/>
        <w:rPr>
          <w:rFonts w:ascii="Bell MT"/>
          <w:sz w:val="52"/>
        </w:rPr>
        <w:sectPr w:rsidR="00B66B44">
          <w:type w:val="continuous"/>
          <w:pgSz w:w="12240" w:h="15840"/>
          <w:pgMar w:top="560" w:right="0" w:bottom="280" w:left="200" w:header="720" w:footer="720" w:gutter="0"/>
          <w:cols w:space="720"/>
        </w:sectPr>
      </w:pPr>
    </w:p>
    <w:p w:rsidR="00B66B44" w:rsidRDefault="000A0942">
      <w:pPr>
        <w:pStyle w:val="BodyText"/>
        <w:ind w:left="525"/>
        <w:rPr>
          <w:rFonts w:ascii="Bell MT"/>
          <w:sz w:val="20"/>
        </w:rPr>
      </w:pPr>
      <w:r>
        <w:rPr>
          <w:rFonts w:ascii="Bell MT"/>
          <w:sz w:val="20"/>
        </w:rPr>
      </w:r>
      <w:r>
        <w:rPr>
          <w:rFonts w:ascii="Bell MT"/>
          <w:sz w:val="20"/>
        </w:rPr>
        <w:pict>
          <v:shape id="_x0000_s1107" type="#_x0000_t202" style="width:537.75pt;height:27.85pt;mso-left-percent:-10001;mso-top-percent:-10001;mso-position-horizontal:absolute;mso-position-horizontal-relative:char;mso-position-vertical:absolute;mso-position-vertical-relative:line;mso-left-percent:-10001;mso-top-percent:-10001" fillcolor="#385723" strokeweight=".48pt">
            <v:textbox inset="0,0,0,0">
              <w:txbxContent>
                <w:p w:rsidR="00B66B44" w:rsidRDefault="00E92030">
                  <w:pPr>
                    <w:spacing w:before="77"/>
                    <w:ind w:left="3978" w:right="3979"/>
                    <w:jc w:val="center"/>
                    <w:rPr>
                      <w:b/>
                      <w:sz w:val="32"/>
                    </w:rPr>
                  </w:pPr>
                  <w:r>
                    <w:rPr>
                      <w:b/>
                      <w:color w:val="FFC000"/>
                      <w:sz w:val="32"/>
                    </w:rPr>
                    <w:t>About Oz Alt Break</w:t>
                  </w:r>
                </w:p>
              </w:txbxContent>
            </v:textbox>
            <w10:wrap type="none"/>
            <w10:anchorlock/>
          </v:shape>
        </w:pict>
      </w:r>
    </w:p>
    <w:p w:rsidR="00B66B44" w:rsidRDefault="00B66B44">
      <w:pPr>
        <w:pStyle w:val="BodyText"/>
        <w:spacing w:before="1"/>
        <w:rPr>
          <w:rFonts w:ascii="Bell MT"/>
          <w:sz w:val="16"/>
        </w:rPr>
      </w:pPr>
    </w:p>
    <w:p w:rsidR="00B66B44" w:rsidRDefault="00E92030">
      <w:pPr>
        <w:pStyle w:val="BodyText"/>
        <w:spacing w:before="90" w:line="276" w:lineRule="auto"/>
        <w:ind w:left="520" w:right="749"/>
      </w:pPr>
      <w:r>
        <w:t>Oz Alt Break is SUNY Oswego’s Alternative Break program housed in the office of Community Services. Since 2001, SUNY Oswego students have dedicated their Winter and Spring breaks to engaging in strong direct service to local, domestic, and international communities. These week-long immersive service trips partner</w:t>
      </w:r>
      <w:r w:rsidR="00874C8B">
        <w:t xml:space="preserve"> </w:t>
      </w:r>
      <w:r>
        <w:t>with community organizations to support efforts such as animal welfare, disaster relief, youth education, environmental concerns, quality affordable housing, health care, food security, and poverty alleviation.</w:t>
      </w:r>
    </w:p>
    <w:p w:rsidR="00B66B44" w:rsidRDefault="00B66B44">
      <w:pPr>
        <w:pStyle w:val="BodyText"/>
        <w:spacing w:before="6"/>
        <w:rPr>
          <w:sz w:val="27"/>
        </w:rPr>
      </w:pPr>
    </w:p>
    <w:p w:rsidR="00B66B44" w:rsidRDefault="00E92030">
      <w:pPr>
        <w:pStyle w:val="BodyText"/>
        <w:spacing w:line="276" w:lineRule="auto"/>
        <w:ind w:left="519" w:right="804"/>
      </w:pPr>
      <w:r>
        <w:t>Alternative Break participants do not “help” or “fix problems.” Instead of viewing our host site communities through a deficit framework, Oz Alt Break works from an asset based model. Our participants (referred to as Alt Breakers) serve alongside community members to strengthen the organization they are serving with. Our service focuses on creating justice, not doing charity. This framework allows Alt Breakers to learn from the knowledge and experience of our host sites while also working towards becoming active citizens who serve for the common good.</w:t>
      </w:r>
    </w:p>
    <w:p w:rsidR="00B66B44" w:rsidRDefault="00B66B44">
      <w:pPr>
        <w:pStyle w:val="BodyText"/>
        <w:spacing w:before="4"/>
        <w:rPr>
          <w:sz w:val="28"/>
        </w:rPr>
      </w:pPr>
    </w:p>
    <w:p w:rsidR="00B66B44" w:rsidRDefault="00E92030">
      <w:pPr>
        <w:ind w:left="519"/>
        <w:rPr>
          <w:b/>
          <w:sz w:val="28"/>
        </w:rPr>
      </w:pPr>
      <w:r>
        <w:rPr>
          <w:b/>
          <w:sz w:val="28"/>
        </w:rPr>
        <w:t>Oz Break values:</w:t>
      </w:r>
    </w:p>
    <w:p w:rsidR="00B66B44" w:rsidRDefault="00E92030">
      <w:pPr>
        <w:pStyle w:val="ListParagraph"/>
        <w:numPr>
          <w:ilvl w:val="0"/>
          <w:numId w:val="3"/>
        </w:numPr>
        <w:tabs>
          <w:tab w:val="left" w:pos="879"/>
          <w:tab w:val="left" w:pos="880"/>
        </w:tabs>
        <w:spacing w:before="52" w:line="223" w:lineRule="auto"/>
        <w:ind w:right="941"/>
        <w:rPr>
          <w:sz w:val="24"/>
        </w:rPr>
      </w:pPr>
      <w:r>
        <w:rPr>
          <w:b/>
          <w:sz w:val="24"/>
        </w:rPr>
        <w:t xml:space="preserve">Active Citizenship: </w:t>
      </w:r>
      <w:r>
        <w:rPr>
          <w:sz w:val="24"/>
        </w:rPr>
        <w:t>A continuum where the ultimate goal is for individuals to prioritize the community</w:t>
      </w:r>
      <w:r>
        <w:rPr>
          <w:spacing w:val="-34"/>
          <w:sz w:val="24"/>
        </w:rPr>
        <w:t xml:space="preserve"> </w:t>
      </w:r>
      <w:r>
        <w:rPr>
          <w:sz w:val="24"/>
        </w:rPr>
        <w:t>in their values and life</w:t>
      </w:r>
      <w:r>
        <w:rPr>
          <w:spacing w:val="-4"/>
          <w:sz w:val="24"/>
        </w:rPr>
        <w:t xml:space="preserve"> </w:t>
      </w:r>
      <w:r>
        <w:rPr>
          <w:sz w:val="24"/>
        </w:rPr>
        <w:t>choices.</w:t>
      </w:r>
    </w:p>
    <w:p w:rsidR="00B66B44" w:rsidRDefault="00E92030">
      <w:pPr>
        <w:pStyle w:val="ListParagraph"/>
        <w:numPr>
          <w:ilvl w:val="0"/>
          <w:numId w:val="3"/>
        </w:numPr>
        <w:tabs>
          <w:tab w:val="left" w:pos="879"/>
          <w:tab w:val="left" w:pos="880"/>
        </w:tabs>
        <w:spacing w:before="20" w:line="225" w:lineRule="auto"/>
        <w:ind w:right="728"/>
        <w:rPr>
          <w:sz w:val="24"/>
        </w:rPr>
      </w:pPr>
      <w:r>
        <w:rPr>
          <w:b/>
          <w:sz w:val="24"/>
        </w:rPr>
        <w:t xml:space="preserve">Social Justice: </w:t>
      </w:r>
      <w:r>
        <w:rPr>
          <w:sz w:val="24"/>
        </w:rPr>
        <w:t>A process and a goal where there is full and equal participation for all groups in a</w:t>
      </w:r>
      <w:r>
        <w:rPr>
          <w:spacing w:val="-45"/>
          <w:sz w:val="24"/>
        </w:rPr>
        <w:t xml:space="preserve"> </w:t>
      </w:r>
      <w:r>
        <w:rPr>
          <w:spacing w:val="-5"/>
          <w:sz w:val="24"/>
        </w:rPr>
        <w:t xml:space="preserve">society </w:t>
      </w:r>
      <w:r>
        <w:rPr>
          <w:sz w:val="24"/>
        </w:rPr>
        <w:t>that is mutually shaped to meet everyone’s needs and full</w:t>
      </w:r>
      <w:r>
        <w:rPr>
          <w:spacing w:val="-19"/>
          <w:sz w:val="24"/>
        </w:rPr>
        <w:t xml:space="preserve"> </w:t>
      </w:r>
      <w:r>
        <w:rPr>
          <w:sz w:val="24"/>
        </w:rPr>
        <w:t>potential.</w:t>
      </w:r>
    </w:p>
    <w:p w:rsidR="00B66B44" w:rsidRDefault="00E92030">
      <w:pPr>
        <w:pStyle w:val="ListParagraph"/>
        <w:numPr>
          <w:ilvl w:val="0"/>
          <w:numId w:val="3"/>
        </w:numPr>
        <w:tabs>
          <w:tab w:val="left" w:pos="879"/>
          <w:tab w:val="left" w:pos="880"/>
        </w:tabs>
        <w:spacing w:line="276" w:lineRule="auto"/>
        <w:ind w:right="677"/>
        <w:rPr>
          <w:sz w:val="24"/>
        </w:rPr>
      </w:pPr>
      <w:r>
        <w:rPr>
          <w:b/>
          <w:sz w:val="24"/>
        </w:rPr>
        <w:t xml:space="preserve">Simple Living: </w:t>
      </w:r>
      <w:r>
        <w:rPr>
          <w:sz w:val="24"/>
        </w:rPr>
        <w:t>Limiting our negative impact on the environment and community by keeping within limits that reflect the socio-economic conditions of the communities we work in and lower our ecological</w:t>
      </w:r>
      <w:r>
        <w:rPr>
          <w:spacing w:val="-13"/>
          <w:sz w:val="24"/>
        </w:rPr>
        <w:t xml:space="preserve"> </w:t>
      </w:r>
      <w:r>
        <w:rPr>
          <w:sz w:val="24"/>
        </w:rPr>
        <w:t>footprint.</w:t>
      </w:r>
    </w:p>
    <w:p w:rsidR="00B66B44" w:rsidRDefault="00E92030">
      <w:pPr>
        <w:pStyle w:val="ListParagraph"/>
        <w:numPr>
          <w:ilvl w:val="0"/>
          <w:numId w:val="3"/>
        </w:numPr>
        <w:tabs>
          <w:tab w:val="left" w:pos="879"/>
          <w:tab w:val="left" w:pos="880"/>
        </w:tabs>
        <w:spacing w:line="307" w:lineRule="exact"/>
        <w:rPr>
          <w:sz w:val="24"/>
        </w:rPr>
      </w:pPr>
      <w:r>
        <w:rPr>
          <w:b/>
          <w:sz w:val="24"/>
        </w:rPr>
        <w:t xml:space="preserve">Diversity and Inclusion: </w:t>
      </w:r>
      <w:r>
        <w:rPr>
          <w:sz w:val="24"/>
        </w:rPr>
        <w:t>Commitment to individual and programmatic efforts to build mutual</w:t>
      </w:r>
      <w:r>
        <w:rPr>
          <w:spacing w:val="-4"/>
          <w:sz w:val="24"/>
        </w:rPr>
        <w:t xml:space="preserve"> </w:t>
      </w:r>
      <w:r>
        <w:rPr>
          <w:sz w:val="24"/>
        </w:rPr>
        <w:t>respect,</w:t>
      </w:r>
    </w:p>
    <w:p w:rsidR="00B66B44" w:rsidRDefault="00E92030">
      <w:pPr>
        <w:pStyle w:val="BodyText"/>
        <w:spacing w:line="271" w:lineRule="exact"/>
        <w:ind w:left="880"/>
      </w:pPr>
      <w:r>
        <w:t>dignity, access, and equity among all groups of people.</w:t>
      </w:r>
    </w:p>
    <w:p w:rsidR="00B66B44" w:rsidRDefault="00E92030">
      <w:pPr>
        <w:pStyle w:val="ListParagraph"/>
        <w:numPr>
          <w:ilvl w:val="0"/>
          <w:numId w:val="3"/>
        </w:numPr>
        <w:tabs>
          <w:tab w:val="left" w:pos="879"/>
          <w:tab w:val="left" w:pos="880"/>
        </w:tabs>
        <w:spacing w:before="15" w:line="223" w:lineRule="auto"/>
        <w:ind w:right="648"/>
        <w:rPr>
          <w:sz w:val="24"/>
        </w:rPr>
      </w:pPr>
      <w:r>
        <w:rPr>
          <w:b/>
          <w:sz w:val="24"/>
        </w:rPr>
        <w:t>Self-Awareness</w:t>
      </w:r>
      <w:r>
        <w:rPr>
          <w:b/>
          <w:spacing w:val="-5"/>
          <w:sz w:val="24"/>
        </w:rPr>
        <w:t xml:space="preserve"> </w:t>
      </w:r>
      <w:r>
        <w:rPr>
          <w:b/>
          <w:sz w:val="24"/>
        </w:rPr>
        <w:t>and</w:t>
      </w:r>
      <w:r>
        <w:rPr>
          <w:b/>
          <w:spacing w:val="-4"/>
          <w:sz w:val="24"/>
        </w:rPr>
        <w:t xml:space="preserve"> </w:t>
      </w:r>
      <w:r>
        <w:rPr>
          <w:b/>
          <w:sz w:val="24"/>
        </w:rPr>
        <w:t>Reflection:</w:t>
      </w:r>
      <w:r>
        <w:rPr>
          <w:b/>
          <w:spacing w:val="-5"/>
          <w:sz w:val="24"/>
        </w:rPr>
        <w:t xml:space="preserve"> </w:t>
      </w:r>
      <w:r>
        <w:rPr>
          <w:sz w:val="24"/>
        </w:rPr>
        <w:t>Creating</w:t>
      </w:r>
      <w:r>
        <w:rPr>
          <w:spacing w:val="-6"/>
          <w:sz w:val="24"/>
        </w:rPr>
        <w:t xml:space="preserve"> </w:t>
      </w:r>
      <w:r>
        <w:rPr>
          <w:sz w:val="24"/>
        </w:rPr>
        <w:t>time</w:t>
      </w:r>
      <w:r>
        <w:rPr>
          <w:spacing w:val="-5"/>
          <w:sz w:val="24"/>
        </w:rPr>
        <w:t xml:space="preserve"> </w:t>
      </w:r>
      <w:r>
        <w:rPr>
          <w:sz w:val="24"/>
        </w:rPr>
        <w:t>and</w:t>
      </w:r>
      <w:r>
        <w:rPr>
          <w:spacing w:val="-5"/>
          <w:sz w:val="24"/>
        </w:rPr>
        <w:t xml:space="preserve"> </w:t>
      </w:r>
      <w:r>
        <w:rPr>
          <w:sz w:val="24"/>
        </w:rPr>
        <w:t>space</w:t>
      </w:r>
      <w:r>
        <w:rPr>
          <w:spacing w:val="-5"/>
          <w:sz w:val="24"/>
        </w:rPr>
        <w:t xml:space="preserve"> </w:t>
      </w:r>
      <w:r>
        <w:rPr>
          <w:sz w:val="24"/>
        </w:rPr>
        <w:t>to</w:t>
      </w:r>
      <w:r>
        <w:rPr>
          <w:spacing w:val="-4"/>
          <w:sz w:val="24"/>
        </w:rPr>
        <w:t xml:space="preserve"> </w:t>
      </w:r>
      <w:r>
        <w:rPr>
          <w:sz w:val="24"/>
        </w:rPr>
        <w:t>analyze</w:t>
      </w:r>
      <w:r>
        <w:rPr>
          <w:spacing w:val="-5"/>
          <w:sz w:val="24"/>
        </w:rPr>
        <w:t xml:space="preserve"> </w:t>
      </w:r>
      <w:r>
        <w:rPr>
          <w:sz w:val="24"/>
        </w:rPr>
        <w:t>how</w:t>
      </w:r>
      <w:r>
        <w:rPr>
          <w:spacing w:val="-5"/>
          <w:sz w:val="24"/>
        </w:rPr>
        <w:t xml:space="preserve"> </w:t>
      </w:r>
      <w:r>
        <w:rPr>
          <w:sz w:val="24"/>
        </w:rPr>
        <w:t>we</w:t>
      </w:r>
      <w:r>
        <w:rPr>
          <w:spacing w:val="-4"/>
          <w:sz w:val="24"/>
        </w:rPr>
        <w:t xml:space="preserve"> </w:t>
      </w:r>
      <w:r>
        <w:rPr>
          <w:sz w:val="24"/>
        </w:rPr>
        <w:t>impact</w:t>
      </w:r>
      <w:r>
        <w:rPr>
          <w:spacing w:val="-36"/>
          <w:sz w:val="24"/>
        </w:rPr>
        <w:t xml:space="preserve"> </w:t>
      </w:r>
      <w:r>
        <w:rPr>
          <w:sz w:val="24"/>
        </w:rPr>
        <w:t>the</w:t>
      </w:r>
      <w:r>
        <w:rPr>
          <w:spacing w:val="-6"/>
          <w:sz w:val="24"/>
        </w:rPr>
        <w:t xml:space="preserve"> </w:t>
      </w:r>
      <w:r>
        <w:rPr>
          <w:sz w:val="24"/>
        </w:rPr>
        <w:t>community</w:t>
      </w:r>
      <w:r>
        <w:rPr>
          <w:spacing w:val="-5"/>
          <w:sz w:val="24"/>
        </w:rPr>
        <w:t xml:space="preserve"> </w:t>
      </w:r>
      <w:r>
        <w:rPr>
          <w:sz w:val="24"/>
        </w:rPr>
        <w:t>and</w:t>
      </w:r>
      <w:r>
        <w:rPr>
          <w:spacing w:val="-4"/>
          <w:sz w:val="24"/>
        </w:rPr>
        <w:t xml:space="preserve"> </w:t>
      </w:r>
      <w:r>
        <w:rPr>
          <w:sz w:val="24"/>
        </w:rPr>
        <w:t>ways in which we contribute to and can alleviate social</w:t>
      </w:r>
      <w:r>
        <w:rPr>
          <w:spacing w:val="-10"/>
          <w:sz w:val="24"/>
        </w:rPr>
        <w:t xml:space="preserve"> </w:t>
      </w:r>
      <w:r>
        <w:rPr>
          <w:sz w:val="24"/>
        </w:rPr>
        <w:t>problems.</w:t>
      </w:r>
    </w:p>
    <w:p w:rsidR="00B66B44" w:rsidRDefault="000A0942">
      <w:pPr>
        <w:pStyle w:val="BodyText"/>
        <w:spacing w:before="9"/>
        <w:rPr>
          <w:sz w:val="20"/>
        </w:rPr>
      </w:pPr>
      <w:r>
        <w:pict>
          <v:group id="_x0000_s1088" style="position:absolute;margin-left:35.7pt;margin-top:13.9pt;width:538.3pt;height:28.7pt;z-index:-251652608;mso-wrap-distance-left:0;mso-wrap-distance-right:0;mso-position-horizontal-relative:page" coordorigin="714,278" coordsize="10766,574">
            <v:rect id="_x0000_s1092" style="position:absolute;left:720;top:290;width:10755;height:557" filled="f" strokeweight=".48pt"/>
            <v:line id="_x0000_s1091" style="position:absolute" from="725,290" to="2289,290" strokeweight="1.2pt"/>
            <v:rect id="_x0000_s1090" style="position:absolute;left:724;top:302;width:10745;height:540" filled="f" strokeweight="1pt"/>
            <v:shape id="_x0000_s1089" type="#_x0000_t202" style="position:absolute;left:734;top:315;width:10725;height:517" fillcolor="#385723" stroked="f">
              <v:textbox inset="0,0,0,0">
                <w:txbxContent>
                  <w:p w:rsidR="00B66B44" w:rsidRDefault="00E92030">
                    <w:pPr>
                      <w:spacing w:before="67"/>
                      <w:ind w:left="4358" w:right="4362"/>
                      <w:jc w:val="center"/>
                      <w:rPr>
                        <w:b/>
                        <w:sz w:val="32"/>
                      </w:rPr>
                    </w:pPr>
                    <w:r>
                      <w:rPr>
                        <w:b/>
                        <w:color w:val="FFC000"/>
                        <w:sz w:val="32"/>
                      </w:rPr>
                      <w:t>Trip Elements</w:t>
                    </w:r>
                  </w:p>
                </w:txbxContent>
              </v:textbox>
            </v:shape>
            <w10:wrap type="topAndBottom" anchorx="page"/>
          </v:group>
        </w:pict>
      </w:r>
    </w:p>
    <w:p w:rsidR="00B66B44" w:rsidRDefault="00B66B44">
      <w:pPr>
        <w:pStyle w:val="BodyText"/>
        <w:spacing w:before="4"/>
        <w:rPr>
          <w:sz w:val="34"/>
        </w:rPr>
      </w:pPr>
    </w:p>
    <w:p w:rsidR="00B66B44" w:rsidRDefault="00E92030">
      <w:pPr>
        <w:pStyle w:val="Heading3"/>
        <w:ind w:left="520"/>
        <w:rPr>
          <w:u w:val="none"/>
        </w:rPr>
      </w:pPr>
      <w:bookmarkStart w:id="2" w:name="Direct_Service"/>
      <w:bookmarkEnd w:id="2"/>
      <w:r>
        <w:rPr>
          <w:u w:val="thick"/>
        </w:rPr>
        <w:t>Direct Service</w:t>
      </w:r>
    </w:p>
    <w:p w:rsidR="00B66B44" w:rsidRDefault="00E92030">
      <w:pPr>
        <w:pStyle w:val="BodyText"/>
        <w:spacing w:before="41" w:line="276" w:lineRule="auto"/>
        <w:ind w:left="519" w:right="769"/>
      </w:pPr>
      <w:r>
        <w:t>All Oz Alt Break trips engage in direct or “hands on” projects and activities that address unmet social needs as determined by the community. Depending on the trip’s focus issue, this direct service could look like building or repairing a house, serving meals, working with youth, maintaining hiking trails, creating care packages, and much, much more. Sometimes the work is physically demanding, sometimes it is emotional. No matter what</w:t>
      </w:r>
      <w:r w:rsidR="001F5B29">
        <w:t xml:space="preserve"> </w:t>
      </w:r>
      <w:r>
        <w:t>the site, your full participation will lead to you gaining new skills, building meaningful relationships, and working towards a more socially just world.</w:t>
      </w:r>
    </w:p>
    <w:p w:rsidR="00B66B44" w:rsidRDefault="00B66B44">
      <w:pPr>
        <w:pStyle w:val="BodyText"/>
        <w:spacing w:before="10"/>
        <w:rPr>
          <w:sz w:val="27"/>
        </w:rPr>
      </w:pPr>
    </w:p>
    <w:p w:rsidR="00B66B44" w:rsidRDefault="00E92030">
      <w:pPr>
        <w:pStyle w:val="Heading3"/>
        <w:ind w:left="520"/>
        <w:rPr>
          <w:u w:val="none"/>
        </w:rPr>
      </w:pPr>
      <w:bookmarkStart w:id="3" w:name="Reflection_and_Education"/>
      <w:bookmarkEnd w:id="3"/>
      <w:r>
        <w:rPr>
          <w:u w:val="thick"/>
        </w:rPr>
        <w:t>Reflection and Education</w:t>
      </w:r>
    </w:p>
    <w:p w:rsidR="00B66B44" w:rsidRDefault="00E92030">
      <w:pPr>
        <w:pStyle w:val="BodyText"/>
        <w:spacing w:before="40" w:line="276" w:lineRule="auto"/>
        <w:ind w:left="520" w:right="1057"/>
      </w:pPr>
      <w:r>
        <w:t>Oz Alt Break recognizes that service is just one component of social justice and active citizenship. The combination of direct service, social issue education, and daily reflections during the trip result in the most successful and transformative Alternative Breaks. Before, during, and after trips, group leaders will facilitate discussions, reflections, and team builders to encourage a deeper understanding of service and community.</w:t>
      </w:r>
    </w:p>
    <w:p w:rsidR="00B66B44" w:rsidRDefault="00B66B44">
      <w:pPr>
        <w:spacing w:line="276" w:lineRule="auto"/>
        <w:sectPr w:rsidR="00B66B44">
          <w:pgSz w:w="12240" w:h="15840"/>
          <w:pgMar w:top="680" w:right="0" w:bottom="280" w:left="200" w:header="720" w:footer="720" w:gutter="0"/>
          <w:cols w:space="720"/>
        </w:sectPr>
      </w:pPr>
    </w:p>
    <w:p w:rsidR="00B66B44" w:rsidRDefault="00E92030">
      <w:pPr>
        <w:pStyle w:val="Heading3"/>
        <w:spacing w:before="62"/>
        <w:ind w:left="483"/>
        <w:rPr>
          <w:u w:val="none"/>
        </w:rPr>
      </w:pPr>
      <w:bookmarkStart w:id="4" w:name="Full_engagement"/>
      <w:bookmarkEnd w:id="4"/>
      <w:r>
        <w:rPr>
          <w:u w:val="thick"/>
        </w:rPr>
        <w:lastRenderedPageBreak/>
        <w:t>Full engagement</w:t>
      </w:r>
    </w:p>
    <w:p w:rsidR="00B66B44" w:rsidRDefault="00E92030">
      <w:pPr>
        <w:pStyle w:val="BodyText"/>
        <w:spacing w:before="40" w:line="276" w:lineRule="auto"/>
        <w:ind w:left="481" w:right="864"/>
      </w:pPr>
      <w:r>
        <w:t>Alt Breakers are expected to be fully engaged, body and mind, during the entire trip. One of the most</w:t>
      </w:r>
      <w:r>
        <w:rPr>
          <w:spacing w:val="-20"/>
        </w:rPr>
        <w:t xml:space="preserve"> </w:t>
      </w:r>
      <w:r>
        <w:t xml:space="preserve">important aspects of full engagement is our commitment to a </w:t>
      </w:r>
      <w:r>
        <w:rPr>
          <w:i/>
          <w:u w:val="single"/>
        </w:rPr>
        <w:t>Drug and Alcohol Free</w:t>
      </w:r>
      <w:r>
        <w:rPr>
          <w:i/>
        </w:rPr>
        <w:t xml:space="preserve"> </w:t>
      </w:r>
      <w:r>
        <w:t>experience. Alternative Breaks are just what the name implies, an alternative to traditional college breaks. In fact, the Alternative Break movement began in the late 1980’s as a counter cultural response to the “MTV culture” of spring breaks. A drug and alcohol free policy (no matter age or the laws) assures Alt Breakers will provide the best possible service to our host sites and get the most out of their trip experience. If a participant is found to be using, possessing, manufacturing, or distributing drugs or alcohol, they will be required to return home at their own expense. Participants found in violation will not be permitted to participate in Alternative Breaks for at least one academic</w:t>
      </w:r>
      <w:r>
        <w:rPr>
          <w:spacing w:val="1"/>
        </w:rPr>
        <w:t xml:space="preserve"> </w:t>
      </w:r>
      <w:r>
        <w:rPr>
          <w:spacing w:val="-5"/>
        </w:rPr>
        <w:t>year.</w:t>
      </w:r>
    </w:p>
    <w:p w:rsidR="00B66B44" w:rsidRDefault="00B66B44">
      <w:pPr>
        <w:pStyle w:val="BodyText"/>
        <w:rPr>
          <w:sz w:val="20"/>
        </w:rPr>
      </w:pPr>
    </w:p>
    <w:p w:rsidR="00B66B44" w:rsidRDefault="000A0942">
      <w:pPr>
        <w:pStyle w:val="BodyText"/>
        <w:spacing w:before="3"/>
        <w:rPr>
          <w:sz w:val="11"/>
        </w:rPr>
      </w:pPr>
      <w:r>
        <w:pict>
          <v:shape id="_x0000_s1087" type="#_x0000_t202" style="position:absolute;margin-left:37.75pt;margin-top:8.65pt;width:537.75pt;height:27.85pt;z-index:-251651584;mso-wrap-distance-left:0;mso-wrap-distance-right:0;mso-position-horizontal-relative:page" fillcolor="#385723" strokeweight=".48pt">
            <v:textbox inset="0,0,0,0">
              <w:txbxContent>
                <w:p w:rsidR="00B66B44" w:rsidRDefault="00E92030">
                  <w:pPr>
                    <w:spacing w:before="48"/>
                    <w:ind w:left="3907" w:right="3979"/>
                    <w:jc w:val="center"/>
                    <w:rPr>
                      <w:b/>
                      <w:sz w:val="32"/>
                    </w:rPr>
                  </w:pPr>
                  <w:r>
                    <w:rPr>
                      <w:b/>
                      <w:color w:val="FFC000"/>
                      <w:sz w:val="32"/>
                    </w:rPr>
                    <w:t>Accommodations</w:t>
                  </w:r>
                </w:p>
              </w:txbxContent>
            </v:textbox>
            <w10:wrap type="topAndBottom" anchorx="page"/>
          </v:shape>
        </w:pict>
      </w:r>
    </w:p>
    <w:p w:rsidR="00B66B44" w:rsidRDefault="00B66B44">
      <w:pPr>
        <w:pStyle w:val="BodyText"/>
        <w:spacing w:before="6"/>
        <w:rPr>
          <w:sz w:val="23"/>
        </w:rPr>
      </w:pPr>
    </w:p>
    <w:p w:rsidR="00B66B44" w:rsidRDefault="00E92030">
      <w:pPr>
        <w:pStyle w:val="Heading3"/>
        <w:rPr>
          <w:u w:val="none"/>
        </w:rPr>
      </w:pPr>
      <w:bookmarkStart w:id="5" w:name="Meals"/>
      <w:bookmarkEnd w:id="5"/>
      <w:r>
        <w:rPr>
          <w:u w:val="thick"/>
        </w:rPr>
        <w:t>Meals</w:t>
      </w:r>
    </w:p>
    <w:p w:rsidR="00B66B44" w:rsidRDefault="00E92030">
      <w:pPr>
        <w:pStyle w:val="BodyText"/>
        <w:spacing w:before="41" w:line="276" w:lineRule="auto"/>
        <w:ind w:left="488" w:right="961" w:hanging="3"/>
      </w:pPr>
      <w:r>
        <w:t>Included in trip costs are three meals a day and snacks. Alt Breakers plan, prepare, and eat meals together as a team. In an effort to adhere to our simple living and sustainability values, we budget $7 per person per day for meals. This budget is almost three dollars a day more than the amount an individual receives through SNAP (Food Stamps) benefits. We accommodate dietary restrictions and allergies.</w:t>
      </w:r>
    </w:p>
    <w:p w:rsidR="00B66B44" w:rsidRDefault="00B66B44">
      <w:pPr>
        <w:pStyle w:val="BodyText"/>
        <w:spacing w:before="4"/>
        <w:rPr>
          <w:sz w:val="27"/>
        </w:rPr>
      </w:pPr>
    </w:p>
    <w:p w:rsidR="00B66B44" w:rsidRDefault="00E92030">
      <w:pPr>
        <w:pStyle w:val="Heading3"/>
        <w:rPr>
          <w:u w:val="none"/>
        </w:rPr>
      </w:pPr>
      <w:bookmarkStart w:id="6" w:name="Housing"/>
      <w:bookmarkEnd w:id="6"/>
      <w:r>
        <w:rPr>
          <w:u w:val="thick"/>
        </w:rPr>
        <w:t>Housing</w:t>
      </w:r>
    </w:p>
    <w:p w:rsidR="00B66B44" w:rsidRDefault="00E92030">
      <w:pPr>
        <w:pStyle w:val="BodyText"/>
        <w:spacing w:before="41" w:line="276" w:lineRule="auto"/>
        <w:ind w:left="488" w:right="1013"/>
      </w:pPr>
      <w:r>
        <w:t>Housing is included in trip costs. In the spirit of simple living, groups do not stay in hotels but instead partner with churches, colleges, hostels, and community centers. Air mattresses or barrack-style bunk beds are common. This means most of our housing sites require Alt Breakers to bring their own bedding, towels, and toiletries. Community Services has several sleeping bags available if participants do not have their own.</w:t>
      </w:r>
    </w:p>
    <w:p w:rsidR="00B66B44" w:rsidRDefault="00B66B44">
      <w:pPr>
        <w:pStyle w:val="BodyText"/>
        <w:rPr>
          <w:sz w:val="28"/>
        </w:rPr>
      </w:pPr>
    </w:p>
    <w:p w:rsidR="00B66B44" w:rsidRDefault="00E92030">
      <w:pPr>
        <w:pStyle w:val="Heading3"/>
        <w:rPr>
          <w:u w:val="none"/>
        </w:rPr>
      </w:pPr>
      <w:bookmarkStart w:id="7" w:name="Transportation"/>
      <w:bookmarkEnd w:id="7"/>
      <w:r>
        <w:rPr>
          <w:u w:val="thick"/>
        </w:rPr>
        <w:t>Transportation</w:t>
      </w:r>
    </w:p>
    <w:p w:rsidR="00B66B44" w:rsidRDefault="00E92030">
      <w:pPr>
        <w:pStyle w:val="BodyText"/>
        <w:spacing w:before="41" w:line="276" w:lineRule="auto"/>
        <w:ind w:left="488" w:right="1062"/>
      </w:pPr>
      <w:r>
        <w:t>Transportation to and from sites is provided by the program; including flights for international trips. All domestic trips are traveled to by car. Students who are van trained through the college or who are 21 years of age and older with a valid driver’s license are encouraged to sign up as drivers. For car trips especially, Alt Breakers are urged to save space by bringing only one small-medium duffel bag plus a sleeping bag.</w:t>
      </w:r>
    </w:p>
    <w:p w:rsidR="00B66B44" w:rsidRDefault="00B66B44">
      <w:pPr>
        <w:pStyle w:val="BodyText"/>
        <w:rPr>
          <w:sz w:val="20"/>
        </w:rPr>
      </w:pPr>
    </w:p>
    <w:p w:rsidR="00B66B44" w:rsidRDefault="000A0942">
      <w:pPr>
        <w:pStyle w:val="BodyText"/>
        <w:spacing w:before="11"/>
        <w:rPr>
          <w:sz w:val="10"/>
        </w:rPr>
      </w:pPr>
      <w:r>
        <w:pict>
          <v:shape id="_x0000_s1086" type="#_x0000_t202" style="position:absolute;margin-left:37.2pt;margin-top:8.5pt;width:537.75pt;height:27.85pt;z-index:-251650560;mso-wrap-distance-left:0;mso-wrap-distance-right:0;mso-position-horizontal-relative:page" fillcolor="#385723" strokeweight=".48pt">
            <v:textbox inset="0,0,0,0">
              <w:txbxContent>
                <w:p w:rsidR="00B66B44" w:rsidRDefault="00E92030">
                  <w:pPr>
                    <w:spacing w:before="90"/>
                    <w:ind w:left="2642"/>
                    <w:rPr>
                      <w:b/>
                      <w:sz w:val="32"/>
                    </w:rPr>
                  </w:pPr>
                  <w:r>
                    <w:rPr>
                      <w:b/>
                      <w:color w:val="FFC000"/>
                      <w:sz w:val="32"/>
                    </w:rPr>
                    <w:t>Required Info Sessions &amp; Pre-Trip Meetings</w:t>
                  </w:r>
                </w:p>
              </w:txbxContent>
            </v:textbox>
            <w10:wrap type="topAndBottom" anchorx="page"/>
          </v:shape>
        </w:pict>
      </w:r>
    </w:p>
    <w:p w:rsidR="00B66B44" w:rsidRDefault="00B66B44">
      <w:pPr>
        <w:pStyle w:val="BodyText"/>
        <w:spacing w:before="9"/>
        <w:rPr>
          <w:sz w:val="26"/>
        </w:rPr>
      </w:pPr>
    </w:p>
    <w:p w:rsidR="00B66B44" w:rsidRDefault="00E92030">
      <w:pPr>
        <w:pStyle w:val="Heading3"/>
        <w:rPr>
          <w:u w:val="none"/>
        </w:rPr>
      </w:pPr>
      <w:bookmarkStart w:id="8" w:name="Info_Sessions"/>
      <w:bookmarkEnd w:id="8"/>
      <w:r>
        <w:rPr>
          <w:u w:val="thick"/>
        </w:rPr>
        <w:t>Info Sessions</w:t>
      </w:r>
    </w:p>
    <w:p w:rsidR="00B66B44" w:rsidRDefault="00E92030">
      <w:pPr>
        <w:pStyle w:val="BodyText"/>
        <w:spacing w:before="38" w:line="273" w:lineRule="auto"/>
        <w:ind w:left="488" w:right="987"/>
      </w:pPr>
      <w:r>
        <w:t xml:space="preserve">All applicants </w:t>
      </w:r>
      <w:r>
        <w:rPr>
          <w:u w:val="single"/>
        </w:rPr>
        <w:t>MUST</w:t>
      </w:r>
      <w:r>
        <w:t xml:space="preserve"> attend an information session in order to be accepted. These sessions introduce students to the basics of Oz Alt Break, introduce each trip, and offer time for applicants to ask any questions.</w:t>
      </w:r>
    </w:p>
    <w:p w:rsidR="00B66B44" w:rsidRDefault="00B66B44">
      <w:pPr>
        <w:pStyle w:val="BodyText"/>
        <w:rPr>
          <w:sz w:val="20"/>
        </w:rPr>
      </w:pPr>
    </w:p>
    <w:p w:rsidR="00B66B44" w:rsidRDefault="00B66B44">
      <w:pPr>
        <w:pStyle w:val="BodyText"/>
        <w:rPr>
          <w:sz w:val="20"/>
        </w:rPr>
      </w:pPr>
    </w:p>
    <w:p w:rsidR="00B66B44" w:rsidRDefault="00B66B44">
      <w:pPr>
        <w:pStyle w:val="BodyText"/>
        <w:spacing w:before="5"/>
        <w:rPr>
          <w:sz w:val="26"/>
        </w:rPr>
      </w:pPr>
    </w:p>
    <w:tbl>
      <w:tblPr>
        <w:tblW w:w="0" w:type="auto"/>
        <w:tblInd w:w="1009" w:type="dxa"/>
        <w:tblLayout w:type="fixed"/>
        <w:tblCellMar>
          <w:left w:w="0" w:type="dxa"/>
          <w:right w:w="0" w:type="dxa"/>
        </w:tblCellMar>
        <w:tblLook w:val="01E0" w:firstRow="1" w:lastRow="1" w:firstColumn="1" w:lastColumn="1" w:noHBand="0" w:noVBand="0"/>
      </w:tblPr>
      <w:tblGrid>
        <w:gridCol w:w="1139"/>
        <w:gridCol w:w="1458"/>
        <w:gridCol w:w="1951"/>
        <w:gridCol w:w="1676"/>
        <w:gridCol w:w="1367"/>
        <w:gridCol w:w="1506"/>
      </w:tblGrid>
      <w:tr w:rsidR="00B66B44">
        <w:trPr>
          <w:trHeight w:val="248"/>
        </w:trPr>
        <w:tc>
          <w:tcPr>
            <w:tcW w:w="1139" w:type="dxa"/>
          </w:tcPr>
          <w:p w:rsidR="00B66B44" w:rsidRDefault="00E92030">
            <w:pPr>
              <w:pStyle w:val="TableParagraph"/>
              <w:spacing w:line="228" w:lineRule="exact"/>
              <w:ind w:left="50"/>
            </w:pPr>
            <w:r>
              <w:t>Oct 31st</w:t>
            </w:r>
          </w:p>
        </w:tc>
        <w:tc>
          <w:tcPr>
            <w:tcW w:w="1458" w:type="dxa"/>
          </w:tcPr>
          <w:p w:rsidR="00B66B44" w:rsidRDefault="00E92030">
            <w:pPr>
              <w:pStyle w:val="TableParagraph"/>
              <w:spacing w:line="228" w:lineRule="exact"/>
              <w:ind w:left="351"/>
            </w:pPr>
            <w:r>
              <w:t>6:00pm</w:t>
            </w:r>
          </w:p>
        </w:tc>
        <w:tc>
          <w:tcPr>
            <w:tcW w:w="1951" w:type="dxa"/>
          </w:tcPr>
          <w:p w:rsidR="00B66B44" w:rsidRDefault="00E92030">
            <w:pPr>
              <w:pStyle w:val="TableParagraph"/>
              <w:spacing w:line="228" w:lineRule="exact"/>
              <w:ind w:left="332"/>
            </w:pPr>
            <w:r>
              <w:t>Marano 143</w:t>
            </w:r>
          </w:p>
        </w:tc>
        <w:tc>
          <w:tcPr>
            <w:tcW w:w="1676" w:type="dxa"/>
          </w:tcPr>
          <w:p w:rsidR="00B66B44" w:rsidRDefault="00E92030">
            <w:pPr>
              <w:pStyle w:val="TableParagraph"/>
              <w:spacing w:line="228" w:lineRule="exact"/>
              <w:ind w:right="309"/>
              <w:jc w:val="right"/>
            </w:pPr>
            <w:r>
              <w:t>Nov 13th</w:t>
            </w:r>
          </w:p>
        </w:tc>
        <w:tc>
          <w:tcPr>
            <w:tcW w:w="1367" w:type="dxa"/>
          </w:tcPr>
          <w:p w:rsidR="00B66B44" w:rsidRDefault="00E92030">
            <w:pPr>
              <w:pStyle w:val="TableParagraph"/>
              <w:spacing w:line="228" w:lineRule="exact"/>
              <w:ind w:left="306"/>
            </w:pPr>
            <w:r>
              <w:t>9:00am</w:t>
            </w:r>
          </w:p>
        </w:tc>
        <w:tc>
          <w:tcPr>
            <w:tcW w:w="1506" w:type="dxa"/>
          </w:tcPr>
          <w:p w:rsidR="00B66B44" w:rsidRDefault="00E92030">
            <w:pPr>
              <w:pStyle w:val="TableParagraph"/>
              <w:spacing w:line="228" w:lineRule="exact"/>
              <w:ind w:right="53"/>
              <w:jc w:val="right"/>
            </w:pPr>
            <w:r>
              <w:t>Marano 143</w:t>
            </w:r>
          </w:p>
        </w:tc>
      </w:tr>
      <w:tr w:rsidR="00B66B44">
        <w:trPr>
          <w:trHeight w:val="251"/>
        </w:trPr>
        <w:tc>
          <w:tcPr>
            <w:tcW w:w="1139" w:type="dxa"/>
          </w:tcPr>
          <w:p w:rsidR="00B66B44" w:rsidRDefault="00E92030">
            <w:pPr>
              <w:pStyle w:val="TableParagraph"/>
              <w:spacing w:line="232" w:lineRule="exact"/>
              <w:ind w:left="50"/>
            </w:pPr>
            <w:r>
              <w:t>Nov 1st</w:t>
            </w:r>
          </w:p>
        </w:tc>
        <w:tc>
          <w:tcPr>
            <w:tcW w:w="1458" w:type="dxa"/>
          </w:tcPr>
          <w:p w:rsidR="00B66B44" w:rsidRDefault="00E92030">
            <w:pPr>
              <w:pStyle w:val="TableParagraph"/>
              <w:spacing w:line="232" w:lineRule="exact"/>
              <w:ind w:left="351"/>
            </w:pPr>
            <w:r>
              <w:t>11:00am</w:t>
            </w:r>
          </w:p>
        </w:tc>
        <w:tc>
          <w:tcPr>
            <w:tcW w:w="1951" w:type="dxa"/>
          </w:tcPr>
          <w:p w:rsidR="00B66B44" w:rsidRDefault="00E92030">
            <w:pPr>
              <w:pStyle w:val="TableParagraph"/>
              <w:spacing w:line="232" w:lineRule="exact"/>
              <w:ind w:left="333"/>
            </w:pPr>
            <w:r>
              <w:t>Marano 143</w:t>
            </w:r>
          </w:p>
        </w:tc>
        <w:tc>
          <w:tcPr>
            <w:tcW w:w="1676" w:type="dxa"/>
          </w:tcPr>
          <w:p w:rsidR="00B66B44" w:rsidRDefault="00E92030">
            <w:pPr>
              <w:pStyle w:val="TableParagraph"/>
              <w:spacing w:line="232" w:lineRule="exact"/>
              <w:ind w:right="323"/>
              <w:jc w:val="right"/>
            </w:pPr>
            <w:r>
              <w:t>Nov 14th</w:t>
            </w:r>
          </w:p>
        </w:tc>
        <w:tc>
          <w:tcPr>
            <w:tcW w:w="1367" w:type="dxa"/>
          </w:tcPr>
          <w:p w:rsidR="00B66B44" w:rsidRDefault="00E92030">
            <w:pPr>
              <w:pStyle w:val="TableParagraph"/>
              <w:spacing w:line="232" w:lineRule="exact"/>
              <w:ind w:left="306"/>
            </w:pPr>
            <w:r>
              <w:t>4:00pm</w:t>
            </w:r>
          </w:p>
        </w:tc>
        <w:tc>
          <w:tcPr>
            <w:tcW w:w="1506" w:type="dxa"/>
          </w:tcPr>
          <w:p w:rsidR="00B66B44" w:rsidRDefault="00E92030">
            <w:pPr>
              <w:pStyle w:val="TableParagraph"/>
              <w:spacing w:line="232" w:lineRule="exact"/>
              <w:ind w:right="51"/>
              <w:jc w:val="right"/>
            </w:pPr>
            <w:r>
              <w:t>Marano 143</w:t>
            </w:r>
          </w:p>
        </w:tc>
      </w:tr>
      <w:tr w:rsidR="00B66B44">
        <w:trPr>
          <w:trHeight w:val="253"/>
        </w:trPr>
        <w:tc>
          <w:tcPr>
            <w:tcW w:w="1139" w:type="dxa"/>
          </w:tcPr>
          <w:p w:rsidR="00B66B44" w:rsidRDefault="00E92030">
            <w:pPr>
              <w:pStyle w:val="TableParagraph"/>
              <w:spacing w:line="233" w:lineRule="exact"/>
              <w:ind w:left="50"/>
            </w:pPr>
            <w:r>
              <w:t>Nov 7th</w:t>
            </w:r>
          </w:p>
        </w:tc>
        <w:tc>
          <w:tcPr>
            <w:tcW w:w="1458" w:type="dxa"/>
          </w:tcPr>
          <w:p w:rsidR="00B66B44" w:rsidRDefault="00E92030">
            <w:pPr>
              <w:pStyle w:val="TableParagraph"/>
              <w:spacing w:line="233" w:lineRule="exact"/>
              <w:ind w:left="351"/>
            </w:pPr>
            <w:r>
              <w:t>1:00pm</w:t>
            </w:r>
          </w:p>
        </w:tc>
        <w:tc>
          <w:tcPr>
            <w:tcW w:w="1951" w:type="dxa"/>
          </w:tcPr>
          <w:p w:rsidR="00B66B44" w:rsidRDefault="00E92030">
            <w:pPr>
              <w:pStyle w:val="TableParagraph"/>
              <w:spacing w:line="233" w:lineRule="exact"/>
              <w:ind w:left="333"/>
            </w:pPr>
            <w:r>
              <w:t>Marano 143</w:t>
            </w:r>
          </w:p>
        </w:tc>
        <w:tc>
          <w:tcPr>
            <w:tcW w:w="1676" w:type="dxa"/>
          </w:tcPr>
          <w:p w:rsidR="00B66B44" w:rsidRDefault="00E92030">
            <w:pPr>
              <w:pStyle w:val="TableParagraph"/>
              <w:spacing w:line="233" w:lineRule="exact"/>
              <w:ind w:right="311"/>
              <w:jc w:val="right"/>
            </w:pPr>
            <w:r>
              <w:t>Nov 15th</w:t>
            </w:r>
          </w:p>
        </w:tc>
        <w:tc>
          <w:tcPr>
            <w:tcW w:w="1367" w:type="dxa"/>
          </w:tcPr>
          <w:p w:rsidR="00B66B44" w:rsidRDefault="00E92030">
            <w:pPr>
              <w:pStyle w:val="TableParagraph"/>
              <w:spacing w:line="233" w:lineRule="exact"/>
              <w:ind w:left="306"/>
            </w:pPr>
            <w:r>
              <w:t>6:00pm</w:t>
            </w:r>
          </w:p>
        </w:tc>
        <w:tc>
          <w:tcPr>
            <w:tcW w:w="1506" w:type="dxa"/>
          </w:tcPr>
          <w:p w:rsidR="00B66B44" w:rsidRDefault="00E92030">
            <w:pPr>
              <w:pStyle w:val="TableParagraph"/>
              <w:spacing w:line="233" w:lineRule="exact"/>
              <w:ind w:right="52"/>
              <w:jc w:val="right"/>
            </w:pPr>
            <w:r>
              <w:t>Marano 141</w:t>
            </w:r>
          </w:p>
        </w:tc>
      </w:tr>
      <w:tr w:rsidR="00B66B44">
        <w:trPr>
          <w:trHeight w:val="249"/>
        </w:trPr>
        <w:tc>
          <w:tcPr>
            <w:tcW w:w="1139" w:type="dxa"/>
          </w:tcPr>
          <w:p w:rsidR="00B66B44" w:rsidRDefault="00E92030">
            <w:pPr>
              <w:pStyle w:val="TableParagraph"/>
              <w:spacing w:line="230" w:lineRule="exact"/>
              <w:ind w:left="50"/>
            </w:pPr>
            <w:r>
              <w:t>Nov 9th</w:t>
            </w:r>
          </w:p>
        </w:tc>
        <w:tc>
          <w:tcPr>
            <w:tcW w:w="1458" w:type="dxa"/>
          </w:tcPr>
          <w:p w:rsidR="00B66B44" w:rsidRDefault="00E92030">
            <w:pPr>
              <w:pStyle w:val="TableParagraph"/>
              <w:spacing w:line="230" w:lineRule="exact"/>
              <w:ind w:left="351"/>
            </w:pPr>
            <w:r>
              <w:t>3:00pm</w:t>
            </w:r>
          </w:p>
        </w:tc>
        <w:tc>
          <w:tcPr>
            <w:tcW w:w="1951" w:type="dxa"/>
          </w:tcPr>
          <w:p w:rsidR="00B66B44" w:rsidRDefault="00E92030">
            <w:pPr>
              <w:pStyle w:val="TableParagraph"/>
              <w:spacing w:line="230" w:lineRule="exact"/>
              <w:ind w:left="333"/>
            </w:pPr>
            <w:r>
              <w:t>Marano 141</w:t>
            </w:r>
          </w:p>
        </w:tc>
        <w:tc>
          <w:tcPr>
            <w:tcW w:w="1676" w:type="dxa"/>
          </w:tcPr>
          <w:p w:rsidR="00B66B44" w:rsidRDefault="00E92030">
            <w:pPr>
              <w:pStyle w:val="TableParagraph"/>
              <w:spacing w:line="230" w:lineRule="exact"/>
              <w:ind w:right="308"/>
              <w:jc w:val="right"/>
            </w:pPr>
            <w:r>
              <w:t>Nov 16th</w:t>
            </w:r>
          </w:p>
        </w:tc>
        <w:tc>
          <w:tcPr>
            <w:tcW w:w="1367" w:type="dxa"/>
          </w:tcPr>
          <w:p w:rsidR="00B66B44" w:rsidRDefault="00E92030">
            <w:pPr>
              <w:pStyle w:val="TableParagraph"/>
              <w:spacing w:line="230" w:lineRule="exact"/>
              <w:ind w:left="306"/>
            </w:pPr>
            <w:r>
              <w:t>3:00pm</w:t>
            </w:r>
          </w:p>
        </w:tc>
        <w:tc>
          <w:tcPr>
            <w:tcW w:w="1506" w:type="dxa"/>
          </w:tcPr>
          <w:p w:rsidR="00B66B44" w:rsidRDefault="00E92030">
            <w:pPr>
              <w:pStyle w:val="TableParagraph"/>
              <w:spacing w:line="230" w:lineRule="exact"/>
              <w:ind w:right="52"/>
              <w:jc w:val="right"/>
            </w:pPr>
            <w:r>
              <w:t>Marano 141</w:t>
            </w:r>
          </w:p>
        </w:tc>
      </w:tr>
    </w:tbl>
    <w:p w:rsidR="00B66B44" w:rsidRDefault="00B66B44">
      <w:pPr>
        <w:spacing w:line="230" w:lineRule="exact"/>
        <w:jc w:val="right"/>
        <w:sectPr w:rsidR="00B66B44">
          <w:pgSz w:w="12240" w:h="15840"/>
          <w:pgMar w:top="740" w:right="0" w:bottom="280" w:left="200" w:header="720" w:footer="720" w:gutter="0"/>
          <w:cols w:space="720"/>
        </w:sectPr>
      </w:pPr>
    </w:p>
    <w:p w:rsidR="00B66B44" w:rsidRDefault="00E92030">
      <w:pPr>
        <w:pStyle w:val="Heading3"/>
        <w:spacing w:before="79"/>
        <w:rPr>
          <w:u w:val="none"/>
        </w:rPr>
      </w:pPr>
      <w:r>
        <w:rPr>
          <w:u w:val="thick"/>
        </w:rPr>
        <w:lastRenderedPageBreak/>
        <w:t>Pre-Trip Meetings</w:t>
      </w:r>
    </w:p>
    <w:p w:rsidR="00B66B44" w:rsidRDefault="00E92030">
      <w:pPr>
        <w:pStyle w:val="BodyText"/>
        <w:spacing w:before="72" w:line="276" w:lineRule="auto"/>
        <w:ind w:left="488" w:right="1062"/>
      </w:pPr>
      <w:r>
        <w:t>Once you have been selected and placed into a trip, your Group Leader will contact you about Pre-Trip Meetings. These three meetings are an essential and required part of Alternative Break. You will get to know your fellow Alt Breakers, receive important details about your specific trip, and learn more about your host site organization, host site community, and the issues related to your trip topic.</w:t>
      </w:r>
    </w:p>
    <w:p w:rsidR="00B66B44" w:rsidRDefault="00B66B44">
      <w:pPr>
        <w:pStyle w:val="BodyText"/>
        <w:rPr>
          <w:sz w:val="20"/>
        </w:rPr>
      </w:pPr>
    </w:p>
    <w:p w:rsidR="00B66B44" w:rsidRDefault="00B66B44">
      <w:pPr>
        <w:pStyle w:val="BodyText"/>
        <w:rPr>
          <w:sz w:val="20"/>
        </w:rPr>
      </w:pPr>
    </w:p>
    <w:p w:rsidR="00B66B44" w:rsidRDefault="000A0942">
      <w:pPr>
        <w:pStyle w:val="BodyText"/>
        <w:spacing w:before="9"/>
        <w:rPr>
          <w:sz w:val="12"/>
        </w:rPr>
      </w:pPr>
      <w:r>
        <w:pict>
          <v:shape id="_x0000_s1085" type="#_x0000_t202" style="position:absolute;margin-left:36pt;margin-top:9.6pt;width:539.2pt;height:28.1pt;z-index:-251649536;mso-wrap-distance-left:0;mso-wrap-distance-right:0;mso-position-horizontal-relative:page" fillcolor="#385723" strokeweight=".48pt">
            <v:textbox inset="0,0,0,0">
              <w:txbxContent>
                <w:p w:rsidR="00B66B44" w:rsidRDefault="00E92030">
                  <w:pPr>
                    <w:spacing w:before="87"/>
                    <w:ind w:left="3655" w:right="3661"/>
                    <w:jc w:val="center"/>
                    <w:rPr>
                      <w:b/>
                      <w:sz w:val="32"/>
                    </w:rPr>
                  </w:pPr>
                  <w:r>
                    <w:rPr>
                      <w:b/>
                      <w:color w:val="FFC000"/>
                      <w:sz w:val="32"/>
                    </w:rPr>
                    <w:t>Cost &amp; Payments</w:t>
                  </w:r>
                </w:p>
              </w:txbxContent>
            </v:textbox>
            <w10:wrap type="topAndBottom" anchorx="page"/>
          </v:shape>
        </w:pict>
      </w:r>
    </w:p>
    <w:p w:rsidR="00B66B44" w:rsidRDefault="00B66B44">
      <w:pPr>
        <w:pStyle w:val="BodyText"/>
        <w:spacing w:before="6"/>
        <w:rPr>
          <w:sz w:val="34"/>
        </w:rPr>
      </w:pPr>
    </w:p>
    <w:p w:rsidR="00B66B44" w:rsidRDefault="00E92030">
      <w:pPr>
        <w:pStyle w:val="BodyText"/>
        <w:spacing w:line="276" w:lineRule="auto"/>
        <w:ind w:left="488" w:right="1074"/>
      </w:pPr>
      <w:r>
        <w:t xml:space="preserve">The cost of all trips includes transportation (including flights if international), housing, and meals. Payments can be made in cash or check made out to Auxiliary Services. </w:t>
      </w:r>
      <w:r>
        <w:rPr>
          <w:b/>
        </w:rPr>
        <w:t xml:space="preserve">These payments should be dropped off to a Community Services staff member only. </w:t>
      </w:r>
      <w:r>
        <w:t>Do not submit a payment to anyone other than the Coordinator of Community Services or the Community Services GA unless explicitly told otherwise. Be sure to obtain a receipt. This assures the safe acceptance of your payment.</w:t>
      </w:r>
    </w:p>
    <w:p w:rsidR="00B66B44" w:rsidRDefault="00B66B44">
      <w:pPr>
        <w:pStyle w:val="BodyText"/>
        <w:spacing w:before="6"/>
        <w:rPr>
          <w:sz w:val="27"/>
        </w:rPr>
      </w:pPr>
    </w:p>
    <w:p w:rsidR="00B66B44" w:rsidRDefault="00E92030">
      <w:pPr>
        <w:spacing w:line="271" w:lineRule="auto"/>
        <w:ind w:left="488" w:right="934"/>
        <w:rPr>
          <w:sz w:val="24"/>
        </w:rPr>
      </w:pPr>
      <w:r>
        <w:rPr>
          <w:b/>
          <w:sz w:val="24"/>
        </w:rPr>
        <w:t xml:space="preserve">A nonrefundable $25 deposit of is due with the application. </w:t>
      </w:r>
      <w:r>
        <w:rPr>
          <w:sz w:val="24"/>
        </w:rPr>
        <w:t>Applications will not be considered until the deposit is submitted. This $25 will be put towards the trip fee once you have been assigned to a trip. If you are not assigned to a trip you will receive your deposit back.</w:t>
      </w:r>
    </w:p>
    <w:p w:rsidR="00B66B44" w:rsidRDefault="00B66B44">
      <w:pPr>
        <w:pStyle w:val="BodyText"/>
        <w:rPr>
          <w:sz w:val="20"/>
        </w:rPr>
      </w:pPr>
    </w:p>
    <w:p w:rsidR="00B66B44" w:rsidRDefault="000A0942">
      <w:pPr>
        <w:pStyle w:val="BodyText"/>
        <w:spacing w:before="7"/>
        <w:rPr>
          <w:sz w:val="22"/>
        </w:rPr>
      </w:pPr>
      <w:r>
        <w:pict>
          <v:shape id="_x0000_s1084" type="#_x0000_t202" style="position:absolute;margin-left:36pt;margin-top:15.2pt;width:539.2pt;height:28pt;z-index:-251648512;mso-wrap-distance-left:0;mso-wrap-distance-right:0;mso-position-horizontal-relative:page" fillcolor="#385723" strokeweight=".48pt">
            <v:textbox inset="0,0,0,0">
              <w:txbxContent>
                <w:p w:rsidR="00B66B44" w:rsidRDefault="00E92030">
                  <w:pPr>
                    <w:spacing w:before="83"/>
                    <w:ind w:left="3658" w:right="3661"/>
                    <w:jc w:val="center"/>
                    <w:rPr>
                      <w:b/>
                      <w:sz w:val="32"/>
                    </w:rPr>
                  </w:pPr>
                  <w:r>
                    <w:rPr>
                      <w:b/>
                      <w:color w:val="FFC000"/>
                      <w:sz w:val="32"/>
                    </w:rPr>
                    <w:t>Need Based Scholarships</w:t>
                  </w:r>
                </w:p>
              </w:txbxContent>
            </v:textbox>
            <w10:wrap type="topAndBottom" anchorx="page"/>
          </v:shape>
        </w:pict>
      </w:r>
    </w:p>
    <w:p w:rsidR="00B66B44" w:rsidRDefault="00B66B44">
      <w:pPr>
        <w:pStyle w:val="BodyText"/>
        <w:spacing w:before="7"/>
        <w:rPr>
          <w:sz w:val="31"/>
        </w:rPr>
      </w:pPr>
    </w:p>
    <w:p w:rsidR="00B66B44" w:rsidRDefault="00E92030">
      <w:pPr>
        <w:pStyle w:val="Heading3"/>
        <w:rPr>
          <w:u w:val="none"/>
        </w:rPr>
      </w:pPr>
      <w:bookmarkStart w:id="9" w:name="Scholarships"/>
      <w:bookmarkEnd w:id="9"/>
      <w:r>
        <w:rPr>
          <w:u w:val="thick"/>
        </w:rPr>
        <w:t>Scholarships</w:t>
      </w:r>
    </w:p>
    <w:p w:rsidR="00B66B44" w:rsidRDefault="00E92030">
      <w:pPr>
        <w:pStyle w:val="BodyText"/>
        <w:spacing w:before="38" w:line="273" w:lineRule="auto"/>
        <w:ind w:left="488" w:right="749"/>
      </w:pPr>
      <w:r>
        <w:t>A small number of scholarships are available to provide financial assistance to students who qualify for Oz Alt Break, but do not have the financial means to participate. Due to limited funds, we ask that students only apply for a scholarship if the cost of an Alternative Break trip would prevent them from participating. Oz Alt Break reserves the right to confirm the applicant’s need with the Financial Aid office.</w:t>
      </w:r>
    </w:p>
    <w:p w:rsidR="00B66B44" w:rsidRDefault="00B66B44">
      <w:pPr>
        <w:pStyle w:val="BodyText"/>
        <w:spacing w:before="3"/>
        <w:rPr>
          <w:sz w:val="27"/>
        </w:rPr>
      </w:pPr>
    </w:p>
    <w:p w:rsidR="00B66B44" w:rsidRDefault="00E92030">
      <w:pPr>
        <w:pStyle w:val="BodyText"/>
        <w:ind w:left="488"/>
      </w:pPr>
      <w:r>
        <w:t>Scholarship Requirements:</w:t>
      </w:r>
    </w:p>
    <w:p w:rsidR="00B66B44" w:rsidRDefault="00E92030">
      <w:pPr>
        <w:pStyle w:val="ListParagraph"/>
        <w:numPr>
          <w:ilvl w:val="1"/>
          <w:numId w:val="3"/>
        </w:numPr>
        <w:tabs>
          <w:tab w:val="left" w:pos="1209"/>
        </w:tabs>
        <w:spacing w:before="48" w:line="276" w:lineRule="auto"/>
        <w:ind w:right="846"/>
        <w:rPr>
          <w:sz w:val="24"/>
        </w:rPr>
      </w:pPr>
      <w:r>
        <w:rPr>
          <w:sz w:val="24"/>
        </w:rPr>
        <w:t>Application: All scholarship applicants must complete the attached Oz Alt Break participant application and attend an information session by the listed due</w:t>
      </w:r>
      <w:r>
        <w:rPr>
          <w:spacing w:val="-22"/>
          <w:sz w:val="24"/>
        </w:rPr>
        <w:t xml:space="preserve"> </w:t>
      </w:r>
      <w:r>
        <w:rPr>
          <w:sz w:val="24"/>
        </w:rPr>
        <w:t>dates.</w:t>
      </w:r>
    </w:p>
    <w:p w:rsidR="00B66B44" w:rsidRDefault="00E92030">
      <w:pPr>
        <w:pStyle w:val="ListParagraph"/>
        <w:numPr>
          <w:ilvl w:val="1"/>
          <w:numId w:val="3"/>
        </w:numPr>
        <w:tabs>
          <w:tab w:val="left" w:pos="1209"/>
        </w:tabs>
        <w:spacing w:before="2" w:line="276" w:lineRule="auto"/>
        <w:ind w:right="923"/>
        <w:rPr>
          <w:sz w:val="24"/>
        </w:rPr>
      </w:pPr>
      <w:r>
        <w:rPr>
          <w:sz w:val="24"/>
        </w:rPr>
        <w:t>Scholarship Section: On the attached Oz Alt Break application there is a “Scholarship” section. Fill out this section in its entirety including the additional short answer</w:t>
      </w:r>
      <w:r>
        <w:rPr>
          <w:spacing w:val="-29"/>
          <w:sz w:val="24"/>
        </w:rPr>
        <w:t xml:space="preserve"> </w:t>
      </w:r>
      <w:r>
        <w:rPr>
          <w:sz w:val="24"/>
        </w:rPr>
        <w:t>question.</w:t>
      </w:r>
    </w:p>
    <w:p w:rsidR="00B66B44" w:rsidRDefault="00B66B44">
      <w:pPr>
        <w:pStyle w:val="BodyText"/>
        <w:spacing w:before="3"/>
        <w:rPr>
          <w:sz w:val="28"/>
        </w:rPr>
      </w:pPr>
    </w:p>
    <w:p w:rsidR="00B66B44" w:rsidRDefault="00E92030">
      <w:pPr>
        <w:pStyle w:val="Heading3"/>
        <w:rPr>
          <w:u w:val="none"/>
        </w:rPr>
      </w:pPr>
      <w:bookmarkStart w:id="10" w:name="Deposit_Waiver"/>
      <w:bookmarkEnd w:id="10"/>
      <w:r>
        <w:rPr>
          <w:u w:val="thick"/>
        </w:rPr>
        <w:t>Deposit Waiver</w:t>
      </w:r>
    </w:p>
    <w:p w:rsidR="00B66B44" w:rsidRDefault="00E92030">
      <w:pPr>
        <w:pStyle w:val="BodyText"/>
        <w:spacing w:before="26"/>
        <w:ind w:left="488"/>
      </w:pPr>
      <w:r>
        <w:t>Students who are members of the SUNY Oswego Educational Opportunity Program are able to waive the initial</w:t>
      </w:r>
    </w:p>
    <w:p w:rsidR="00B66B44" w:rsidRDefault="00E92030">
      <w:pPr>
        <w:pStyle w:val="BodyText"/>
        <w:spacing w:before="46" w:line="276" w:lineRule="auto"/>
        <w:ind w:left="488" w:right="921"/>
      </w:pPr>
      <w:r>
        <w:t>$25 application deposit. EOP members who wish to have the deposit fee waived should check the EOP waiver box in the scholarship section of the attached application.</w:t>
      </w:r>
    </w:p>
    <w:p w:rsidR="00B66B44" w:rsidRDefault="00B66B44">
      <w:pPr>
        <w:spacing w:line="276" w:lineRule="auto"/>
        <w:sectPr w:rsidR="00B66B44">
          <w:pgSz w:w="12240" w:h="15840"/>
          <w:pgMar w:top="640" w:right="0" w:bottom="280" w:left="200" w:header="720" w:footer="720" w:gutter="0"/>
          <w:cols w:space="720"/>
        </w:sectPr>
      </w:pPr>
    </w:p>
    <w:p w:rsidR="00B66B44" w:rsidRDefault="000A0942">
      <w:pPr>
        <w:pStyle w:val="Heading1"/>
        <w:spacing w:before="67"/>
        <w:ind w:left="2984"/>
      </w:pPr>
      <w:r>
        <w:lastRenderedPageBreak/>
        <w:pict>
          <v:group id="_x0000_s1081" style="position:absolute;left:0;text-align:left;margin-left:18.1pt;margin-top:16.55pt;width:593.9pt;height:775.45pt;z-index:-251668992;mso-position-horizontal-relative:page;mso-position-vertical-relative:page" coordorigin="362,331" coordsize="11878,15509">
            <v:shape id="_x0000_s1083" type="#_x0000_t75" style="position:absolute;left:362;top:331;width:1640;height:15509">
              <v:imagedata r:id="rId10" o:title=""/>
            </v:shape>
            <v:shape id="_x0000_s1082" style="position:absolute;left:2011;top:518;width:10229;height:10496" coordorigin="2011,518" coordsize="10229,10496" o:spt="100" adj="0,,0" path="m12240,10788r-10224,l2016,11014r10224,l12240,10788t,-10270l2011,518r,224l12240,742r,-224e" fillcolor="#818181" stroked="f">
              <v:stroke joinstyle="round"/>
              <v:formulas/>
              <v:path arrowok="t" o:connecttype="segments"/>
            </v:shape>
            <w10:wrap anchorx="page" anchory="page"/>
          </v:group>
        </w:pict>
      </w:r>
      <w:r w:rsidR="00E92030">
        <w:t>Affordable Housing for All: Homeownership</w:t>
      </w:r>
    </w:p>
    <w:p w:rsidR="00B66B44" w:rsidRDefault="000A0942">
      <w:pPr>
        <w:spacing w:before="71"/>
        <w:ind w:left="4280"/>
        <w:rPr>
          <w:b/>
          <w:sz w:val="40"/>
        </w:rPr>
      </w:pPr>
      <w:r>
        <w:pict>
          <v:rect id="_x0000_s1080" style="position:absolute;left:0;text-align:left;margin-left:100.55pt;margin-top:196.15pt;width:511.45pt;height:11.3pt;z-index:-251667968;mso-position-horizontal-relative:page" fillcolor="#818181" stroked="f">
            <w10:wrap anchorx="page"/>
          </v:rect>
        </w:pict>
      </w:r>
      <w:r>
        <w:pict>
          <v:shape id="_x0000_s1079" type="#_x0000_t202" style="position:absolute;left:0;text-align:left;margin-left:23.35pt;margin-top:19.9pt;width:77.35pt;height:646.15pt;z-index:251645440;mso-position-horizontal-relative:page" filled="f" stroked="f">
            <v:textbox style="layout-flow:vertical;mso-layout-flow-alt:bottom-to-top" inset="0,0,0,0">
              <w:txbxContent>
                <w:p w:rsidR="00B66B44" w:rsidRDefault="00E92030">
                  <w:pPr>
                    <w:spacing w:line="1527" w:lineRule="exact"/>
                    <w:ind w:left="20"/>
                    <w:rPr>
                      <w:sz w:val="136"/>
                    </w:rPr>
                  </w:pPr>
                  <w:r>
                    <w:rPr>
                      <w:color w:val="FFC000"/>
                      <w:sz w:val="136"/>
                    </w:rPr>
                    <w:t>TRIP DESCRIPTIONS</w:t>
                  </w:r>
                </w:p>
              </w:txbxContent>
            </v:textbox>
            <w10:wrap anchorx="page"/>
          </v:shape>
        </w:pict>
      </w:r>
      <w:r w:rsidR="00874C8B">
        <w:rPr>
          <w:b/>
          <w:sz w:val="40"/>
        </w:rPr>
        <w:t>and Repairs in a</w:t>
      </w:r>
      <w:r w:rsidR="00E92030">
        <w:rPr>
          <w:b/>
          <w:sz w:val="40"/>
        </w:rPr>
        <w:t xml:space="preserve"> Rural Area</w:t>
      </w:r>
    </w:p>
    <w:p w:rsidR="00B66B44" w:rsidRDefault="00B66B44">
      <w:pPr>
        <w:pStyle w:val="BodyText"/>
        <w:spacing w:before="3"/>
        <w:rPr>
          <w:b/>
          <w:sz w:val="1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
        <w:gridCol w:w="1595"/>
        <w:gridCol w:w="7951"/>
        <w:gridCol w:w="383"/>
      </w:tblGrid>
      <w:tr w:rsidR="00B66B44" w:rsidTr="00874C8B">
        <w:trPr>
          <w:trHeight w:val="1519"/>
          <w:jc w:val="right"/>
        </w:trPr>
        <w:tc>
          <w:tcPr>
            <w:tcW w:w="298" w:type="dxa"/>
            <w:vMerge w:val="restart"/>
            <w:tcBorders>
              <w:top w:val="nil"/>
              <w:left w:val="nil"/>
              <w:bottom w:val="nil"/>
            </w:tcBorders>
          </w:tcPr>
          <w:p w:rsidR="00B66B44" w:rsidRDefault="00B66B44">
            <w:pPr>
              <w:pStyle w:val="TableParagraph"/>
              <w:rPr>
                <w:sz w:val="26"/>
              </w:rPr>
            </w:pPr>
          </w:p>
        </w:tc>
        <w:tc>
          <w:tcPr>
            <w:tcW w:w="1595" w:type="dxa"/>
          </w:tcPr>
          <w:p w:rsidR="00B66B44" w:rsidRDefault="00E92030">
            <w:pPr>
              <w:pStyle w:val="TableParagraph"/>
              <w:spacing w:line="273" w:lineRule="exact"/>
              <w:ind w:left="126"/>
              <w:rPr>
                <w:b/>
                <w:sz w:val="24"/>
              </w:rPr>
            </w:pPr>
            <w:r>
              <w:rPr>
                <w:b/>
                <w:sz w:val="24"/>
              </w:rPr>
              <w:t>Organization</w:t>
            </w:r>
          </w:p>
        </w:tc>
        <w:tc>
          <w:tcPr>
            <w:tcW w:w="7951" w:type="dxa"/>
          </w:tcPr>
          <w:p w:rsidR="00B66B44" w:rsidRDefault="00E92030">
            <w:pPr>
              <w:pStyle w:val="TableParagraph"/>
              <w:spacing w:before="98"/>
              <w:ind w:left="56" w:right="20"/>
              <w:rPr>
                <w:sz w:val="24"/>
              </w:rPr>
            </w:pPr>
            <w:r>
              <w:rPr>
                <w:i/>
                <w:sz w:val="24"/>
              </w:rPr>
              <w:t xml:space="preserve">Shoals Habitat for Humanity </w:t>
            </w:r>
            <w:r>
              <w:rPr>
                <w:sz w:val="24"/>
              </w:rPr>
              <w:t>is dedicated to eliminating substandard housing through constructing, rehabilitating, and preserving homes for members of their community. For 37 years, their volunteers have advocated for fair and just housing policies, and provided training and resources to help families improve their housing conditions.</w:t>
            </w:r>
          </w:p>
        </w:tc>
        <w:tc>
          <w:tcPr>
            <w:tcW w:w="383" w:type="dxa"/>
            <w:vMerge w:val="restart"/>
            <w:tcBorders>
              <w:top w:val="nil"/>
              <w:bottom w:val="nil"/>
              <w:right w:val="nil"/>
            </w:tcBorders>
          </w:tcPr>
          <w:p w:rsidR="00B66B44" w:rsidRDefault="00B66B44">
            <w:pPr>
              <w:pStyle w:val="TableParagraph"/>
              <w:rPr>
                <w:sz w:val="26"/>
              </w:rPr>
            </w:pPr>
          </w:p>
        </w:tc>
      </w:tr>
      <w:tr w:rsidR="00B66B44" w:rsidTr="00874C8B">
        <w:trPr>
          <w:trHeight w:val="619"/>
          <w:jc w:val="right"/>
        </w:trPr>
        <w:tc>
          <w:tcPr>
            <w:tcW w:w="298" w:type="dxa"/>
            <w:vMerge/>
            <w:tcBorders>
              <w:top w:val="nil"/>
              <w:left w:val="nil"/>
              <w:bottom w:val="nil"/>
            </w:tcBorders>
          </w:tcPr>
          <w:p w:rsidR="00B66B44" w:rsidRDefault="00B66B44">
            <w:pPr>
              <w:rPr>
                <w:sz w:val="2"/>
                <w:szCs w:val="2"/>
              </w:rPr>
            </w:pPr>
          </w:p>
        </w:tc>
        <w:tc>
          <w:tcPr>
            <w:tcW w:w="1595" w:type="dxa"/>
          </w:tcPr>
          <w:p w:rsidR="00B66B44" w:rsidRDefault="00E92030">
            <w:pPr>
              <w:pStyle w:val="TableParagraph"/>
              <w:spacing w:line="256" w:lineRule="exact"/>
              <w:ind w:left="126"/>
              <w:rPr>
                <w:b/>
                <w:sz w:val="24"/>
              </w:rPr>
            </w:pPr>
            <w:r>
              <w:rPr>
                <w:b/>
                <w:sz w:val="24"/>
              </w:rPr>
              <w:t>Service</w:t>
            </w:r>
          </w:p>
        </w:tc>
        <w:tc>
          <w:tcPr>
            <w:tcW w:w="7951" w:type="dxa"/>
          </w:tcPr>
          <w:p w:rsidR="00B66B44" w:rsidRDefault="00874C8B">
            <w:pPr>
              <w:pStyle w:val="TableParagraph"/>
              <w:rPr>
                <w:sz w:val="20"/>
              </w:rPr>
            </w:pPr>
            <w:r w:rsidRPr="00874C8B">
              <w:rPr>
                <w:sz w:val="24"/>
              </w:rPr>
              <w:t xml:space="preserve">Building or repairing homes in various stages of construction. No Previous construction experience is required as you will go through orientation of all projects and tools on site. </w:t>
            </w:r>
          </w:p>
        </w:tc>
        <w:tc>
          <w:tcPr>
            <w:tcW w:w="383" w:type="dxa"/>
            <w:vMerge/>
            <w:tcBorders>
              <w:top w:val="nil"/>
              <w:bottom w:val="nil"/>
              <w:right w:val="nil"/>
            </w:tcBorders>
          </w:tcPr>
          <w:p w:rsidR="00B66B44" w:rsidRDefault="00B66B44">
            <w:pPr>
              <w:rPr>
                <w:sz w:val="2"/>
                <w:szCs w:val="2"/>
              </w:rPr>
            </w:pPr>
          </w:p>
        </w:tc>
      </w:tr>
      <w:tr w:rsidR="00B66B44">
        <w:trPr>
          <w:trHeight w:val="275"/>
          <w:jc w:val="right"/>
        </w:trPr>
        <w:tc>
          <w:tcPr>
            <w:tcW w:w="298" w:type="dxa"/>
            <w:vMerge/>
            <w:tcBorders>
              <w:top w:val="nil"/>
              <w:left w:val="nil"/>
              <w:bottom w:val="nil"/>
            </w:tcBorders>
          </w:tcPr>
          <w:p w:rsidR="00B66B44" w:rsidRDefault="00B66B44">
            <w:pPr>
              <w:rPr>
                <w:sz w:val="2"/>
                <w:szCs w:val="2"/>
              </w:rPr>
            </w:pPr>
          </w:p>
        </w:tc>
        <w:tc>
          <w:tcPr>
            <w:tcW w:w="1595" w:type="dxa"/>
          </w:tcPr>
          <w:p w:rsidR="00B66B44" w:rsidRDefault="00E92030">
            <w:pPr>
              <w:pStyle w:val="TableParagraph"/>
              <w:spacing w:line="256" w:lineRule="exact"/>
              <w:ind w:left="126"/>
              <w:rPr>
                <w:b/>
                <w:sz w:val="24"/>
              </w:rPr>
            </w:pPr>
            <w:r>
              <w:rPr>
                <w:b/>
                <w:sz w:val="24"/>
              </w:rPr>
              <w:t>Location</w:t>
            </w:r>
          </w:p>
        </w:tc>
        <w:tc>
          <w:tcPr>
            <w:tcW w:w="7951" w:type="dxa"/>
          </w:tcPr>
          <w:p w:rsidR="00B66B44" w:rsidRDefault="00874C8B">
            <w:pPr>
              <w:pStyle w:val="TableParagraph"/>
              <w:rPr>
                <w:sz w:val="20"/>
              </w:rPr>
            </w:pPr>
            <w:r>
              <w:rPr>
                <w:sz w:val="24"/>
              </w:rPr>
              <w:t>Florence, AL</w:t>
            </w:r>
          </w:p>
        </w:tc>
        <w:tc>
          <w:tcPr>
            <w:tcW w:w="383" w:type="dxa"/>
            <w:vMerge/>
            <w:tcBorders>
              <w:top w:val="nil"/>
              <w:bottom w:val="nil"/>
              <w:right w:val="nil"/>
            </w:tcBorders>
          </w:tcPr>
          <w:p w:rsidR="00B66B44" w:rsidRDefault="00B66B44">
            <w:pPr>
              <w:rPr>
                <w:sz w:val="2"/>
                <w:szCs w:val="2"/>
              </w:rPr>
            </w:pPr>
          </w:p>
        </w:tc>
      </w:tr>
      <w:tr w:rsidR="00B66B44">
        <w:trPr>
          <w:trHeight w:val="275"/>
          <w:jc w:val="right"/>
        </w:trPr>
        <w:tc>
          <w:tcPr>
            <w:tcW w:w="298" w:type="dxa"/>
            <w:vMerge/>
            <w:tcBorders>
              <w:top w:val="nil"/>
              <w:left w:val="nil"/>
              <w:bottom w:val="nil"/>
            </w:tcBorders>
          </w:tcPr>
          <w:p w:rsidR="00B66B44" w:rsidRDefault="00B66B44">
            <w:pPr>
              <w:rPr>
                <w:sz w:val="2"/>
                <w:szCs w:val="2"/>
              </w:rPr>
            </w:pPr>
          </w:p>
        </w:tc>
        <w:tc>
          <w:tcPr>
            <w:tcW w:w="1595" w:type="dxa"/>
          </w:tcPr>
          <w:p w:rsidR="00B66B44" w:rsidRDefault="00E92030">
            <w:pPr>
              <w:pStyle w:val="TableParagraph"/>
              <w:spacing w:line="256" w:lineRule="exact"/>
              <w:ind w:left="126"/>
              <w:rPr>
                <w:b/>
                <w:sz w:val="24"/>
              </w:rPr>
            </w:pPr>
            <w:r>
              <w:rPr>
                <w:b/>
                <w:sz w:val="24"/>
              </w:rPr>
              <w:t>Cost</w:t>
            </w:r>
          </w:p>
        </w:tc>
        <w:tc>
          <w:tcPr>
            <w:tcW w:w="7951" w:type="dxa"/>
          </w:tcPr>
          <w:p w:rsidR="00B66B44" w:rsidRDefault="00874C8B">
            <w:pPr>
              <w:pStyle w:val="TableParagraph"/>
              <w:rPr>
                <w:sz w:val="20"/>
              </w:rPr>
            </w:pPr>
            <w:r>
              <w:rPr>
                <w:sz w:val="20"/>
              </w:rPr>
              <w:t>$150</w:t>
            </w:r>
          </w:p>
        </w:tc>
        <w:tc>
          <w:tcPr>
            <w:tcW w:w="383" w:type="dxa"/>
            <w:vMerge/>
            <w:tcBorders>
              <w:top w:val="nil"/>
              <w:bottom w:val="nil"/>
              <w:right w:val="nil"/>
            </w:tcBorders>
          </w:tcPr>
          <w:p w:rsidR="00B66B44" w:rsidRDefault="00B66B44">
            <w:pPr>
              <w:rPr>
                <w:sz w:val="2"/>
                <w:szCs w:val="2"/>
              </w:rPr>
            </w:pPr>
          </w:p>
        </w:tc>
      </w:tr>
      <w:tr w:rsidR="00B66B44">
        <w:trPr>
          <w:trHeight w:val="2430"/>
          <w:jc w:val="right"/>
        </w:trPr>
        <w:tc>
          <w:tcPr>
            <w:tcW w:w="10227" w:type="dxa"/>
            <w:gridSpan w:val="4"/>
            <w:tcBorders>
              <w:top w:val="nil"/>
              <w:left w:val="nil"/>
              <w:bottom w:val="nil"/>
              <w:right w:val="nil"/>
            </w:tcBorders>
          </w:tcPr>
          <w:p w:rsidR="00B66B44" w:rsidRDefault="000A0942">
            <w:pPr>
              <w:pStyle w:val="TableParagraph"/>
              <w:rPr>
                <w:sz w:val="26"/>
              </w:rPr>
            </w:pPr>
            <w:r>
              <w:rPr>
                <w:noProof/>
                <w:sz w:val="26"/>
                <w:lang w:bidi="ar-SA"/>
              </w:rPr>
              <w:pict>
                <v:shape id="_x0000_s1102" type="#_x0000_t202" style="position:absolute;margin-left:1.35pt;margin-top:24.95pt;width:499.5pt;height:257.25pt;z-index:251671040;mso-position-horizontal-relative:text;mso-position-vertical-relative:text">
                  <v:textbox>
                    <w:txbxContent>
                      <w:p w:rsidR="00874C8B" w:rsidRPr="00874C8B" w:rsidRDefault="0012585D" w:rsidP="00874C8B">
                        <w:pPr>
                          <w:jc w:val="center"/>
                          <w:rPr>
                            <w:b/>
                            <w:sz w:val="40"/>
                            <w:szCs w:val="40"/>
                          </w:rPr>
                        </w:pPr>
                        <w:r>
                          <w:rPr>
                            <w:b/>
                            <w:sz w:val="40"/>
                            <w:szCs w:val="40"/>
                          </w:rPr>
                          <w:t>Trailblazers for Change</w:t>
                        </w:r>
                        <w:r w:rsidR="00874C8B" w:rsidRPr="00874C8B">
                          <w:rPr>
                            <w:b/>
                            <w:sz w:val="40"/>
                            <w:szCs w:val="40"/>
                          </w:rPr>
                          <w:t xml:space="preserve">: </w:t>
                        </w:r>
                        <w:r w:rsidR="007516C5">
                          <w:rPr>
                            <w:b/>
                            <w:sz w:val="40"/>
                            <w:szCs w:val="40"/>
                          </w:rPr>
                          <w:t>Environmentalism and State Park Maintenance</w:t>
                        </w:r>
                      </w:p>
                      <w:p w:rsidR="00874C8B" w:rsidRPr="00874C8B" w:rsidRDefault="00874C8B" w:rsidP="00874C8B">
                        <w:pPr>
                          <w:rPr>
                            <w:b/>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7970"/>
                        </w:tblGrid>
                        <w:tr w:rsidR="00874C8B" w:rsidRPr="00874C8B" w:rsidTr="00E92030">
                          <w:trPr>
                            <w:trHeight w:val="1697"/>
                          </w:trPr>
                          <w:tc>
                            <w:tcPr>
                              <w:tcW w:w="1579" w:type="dxa"/>
                            </w:tcPr>
                            <w:p w:rsidR="00874C8B" w:rsidRPr="00874C8B" w:rsidRDefault="00874C8B" w:rsidP="00874C8B">
                              <w:pPr>
                                <w:rPr>
                                  <w:b/>
                                </w:rPr>
                              </w:pPr>
                              <w:r w:rsidRPr="00874C8B">
                                <w:rPr>
                                  <w:b/>
                                </w:rPr>
                                <w:t>Organization</w:t>
                              </w:r>
                            </w:p>
                          </w:tc>
                          <w:tc>
                            <w:tcPr>
                              <w:tcW w:w="7970" w:type="dxa"/>
                            </w:tcPr>
                            <w:p w:rsidR="004008B2" w:rsidRPr="00E92030" w:rsidRDefault="0012585D" w:rsidP="00A5503A">
                              <w:pPr>
                                <w:rPr>
                                  <w:sz w:val="24"/>
                                </w:rPr>
                              </w:pPr>
                              <w:r w:rsidRPr="00E92030">
                                <w:rPr>
                                  <w:sz w:val="24"/>
                                </w:rPr>
                                <w:t xml:space="preserve">The </w:t>
                              </w:r>
                              <w:r w:rsidRPr="00E92030">
                                <w:rPr>
                                  <w:i/>
                                  <w:sz w:val="24"/>
                                </w:rPr>
                                <w:t>American Hiking Society</w:t>
                              </w:r>
                              <w:r w:rsidR="00A5503A" w:rsidRPr="00E92030">
                                <w:rPr>
                                  <w:i/>
                                  <w:sz w:val="24"/>
                                </w:rPr>
                                <w:t xml:space="preserve">’s </w:t>
                              </w:r>
                              <w:r w:rsidR="00A5503A" w:rsidRPr="00E92030">
                                <w:rPr>
                                  <w:sz w:val="24"/>
                                </w:rPr>
                                <w:t xml:space="preserve">Alternative Break program partners with America’s parks and forests to increase </w:t>
                              </w:r>
                              <w:r w:rsidR="005649AC" w:rsidRPr="00E92030">
                                <w:rPr>
                                  <w:sz w:val="24"/>
                                </w:rPr>
                                <w:t xml:space="preserve">environmental </w:t>
                              </w:r>
                              <w:r w:rsidR="00A5503A" w:rsidRPr="00E92030">
                                <w:rPr>
                                  <w:sz w:val="24"/>
                                </w:rPr>
                                <w:t>stewardship</w:t>
                              </w:r>
                              <w:r w:rsidR="004744CD" w:rsidRPr="00E92030">
                                <w:rPr>
                                  <w:sz w:val="24"/>
                                </w:rPr>
                                <w:t xml:space="preserve"> </w:t>
                              </w:r>
                              <w:r w:rsidR="005649AC" w:rsidRPr="00E92030">
                                <w:rPr>
                                  <w:sz w:val="24"/>
                                </w:rPr>
                                <w:t>and use of public outdoor areas</w:t>
                              </w:r>
                              <w:r w:rsidR="004744CD" w:rsidRPr="00E92030">
                                <w:rPr>
                                  <w:sz w:val="24"/>
                                </w:rPr>
                                <w:t xml:space="preserve">. </w:t>
                              </w:r>
                              <w:r w:rsidR="005649AC" w:rsidRPr="00E92030">
                                <w:rPr>
                                  <w:sz w:val="24"/>
                                </w:rPr>
                                <w:t>Currently partnering with 9 state parks, wildlife refuges, and environmental centers, American Hiking Society allows volunteers to experience nature first hand while improving access to the p</w:t>
                              </w:r>
                              <w:r w:rsidR="00E92030" w:rsidRPr="00E92030">
                                <w:rPr>
                                  <w:sz w:val="24"/>
                                </w:rPr>
                                <w:t>ublic.</w:t>
                              </w:r>
                            </w:p>
                            <w:p w:rsidR="004008B2" w:rsidRDefault="004008B2" w:rsidP="00A5503A"/>
                            <w:p w:rsidR="00874C8B" w:rsidRPr="00874C8B" w:rsidRDefault="00A5503A" w:rsidP="00A5503A">
                              <w:r>
                                <w:t xml:space="preserve">  </w:t>
                              </w:r>
                            </w:p>
                          </w:tc>
                        </w:tr>
                        <w:tr w:rsidR="00874C8B" w:rsidRPr="00874C8B" w:rsidTr="002F1135">
                          <w:trPr>
                            <w:trHeight w:val="1348"/>
                          </w:trPr>
                          <w:tc>
                            <w:tcPr>
                              <w:tcW w:w="1579" w:type="dxa"/>
                            </w:tcPr>
                            <w:p w:rsidR="00874C8B" w:rsidRPr="00874C8B" w:rsidRDefault="00874C8B" w:rsidP="00874C8B">
                              <w:pPr>
                                <w:rPr>
                                  <w:b/>
                                </w:rPr>
                              </w:pPr>
                              <w:r w:rsidRPr="00874C8B">
                                <w:rPr>
                                  <w:b/>
                                </w:rPr>
                                <w:t>Service</w:t>
                              </w:r>
                            </w:p>
                          </w:tc>
                          <w:tc>
                            <w:tcPr>
                              <w:tcW w:w="7970" w:type="dxa"/>
                            </w:tcPr>
                            <w:p w:rsidR="00874C8B" w:rsidRPr="00874C8B" w:rsidRDefault="00A5503A" w:rsidP="00874C8B">
                              <w:r w:rsidRPr="00E92030">
                                <w:rPr>
                                  <w:sz w:val="24"/>
                                </w:rPr>
                                <w:t xml:space="preserve">Various trail improvement projects throughout the park including, but not limited to, brush trimming and removal, gravel laying, trail repair and marking, and shoreline cleanup. Volunteers should expect to hike up to 3 miles </w:t>
                              </w:r>
                              <w:r w:rsidR="004744CD" w:rsidRPr="00E92030">
                                <w:rPr>
                                  <w:sz w:val="24"/>
                                </w:rPr>
                                <w:t>every day</w:t>
                              </w:r>
                              <w:r w:rsidR="005649AC" w:rsidRPr="00E92030">
                                <w:rPr>
                                  <w:sz w:val="24"/>
                                </w:rPr>
                                <w:t xml:space="preserve"> and be prepared to get dirty. </w:t>
                              </w:r>
                              <w:r w:rsidRPr="00E92030">
                                <w:rPr>
                                  <w:sz w:val="24"/>
                                </w:rPr>
                                <w:t xml:space="preserve"> </w:t>
                              </w:r>
                            </w:p>
                          </w:tc>
                        </w:tr>
                        <w:tr w:rsidR="00874C8B" w:rsidRPr="00874C8B" w:rsidTr="002F1135">
                          <w:trPr>
                            <w:trHeight w:val="275"/>
                          </w:trPr>
                          <w:tc>
                            <w:tcPr>
                              <w:tcW w:w="1579" w:type="dxa"/>
                            </w:tcPr>
                            <w:p w:rsidR="00874C8B" w:rsidRPr="00874C8B" w:rsidRDefault="00874C8B" w:rsidP="00874C8B">
                              <w:pPr>
                                <w:rPr>
                                  <w:b/>
                                </w:rPr>
                              </w:pPr>
                              <w:r w:rsidRPr="00874C8B">
                                <w:rPr>
                                  <w:b/>
                                </w:rPr>
                                <w:t>Location</w:t>
                              </w:r>
                            </w:p>
                          </w:tc>
                          <w:tc>
                            <w:tcPr>
                              <w:tcW w:w="7970" w:type="dxa"/>
                            </w:tcPr>
                            <w:p w:rsidR="00874C8B" w:rsidRPr="00874C8B" w:rsidRDefault="00A5503A" w:rsidP="00874C8B">
                              <w:r>
                                <w:t>Belle Isle State Park, VA</w:t>
                              </w:r>
                            </w:p>
                          </w:tc>
                        </w:tr>
                        <w:tr w:rsidR="00874C8B" w:rsidRPr="00874C8B" w:rsidTr="002F1135">
                          <w:trPr>
                            <w:trHeight w:val="275"/>
                          </w:trPr>
                          <w:tc>
                            <w:tcPr>
                              <w:tcW w:w="1579" w:type="dxa"/>
                            </w:tcPr>
                            <w:p w:rsidR="00874C8B" w:rsidRPr="00874C8B" w:rsidRDefault="00874C8B" w:rsidP="00874C8B">
                              <w:pPr>
                                <w:rPr>
                                  <w:b/>
                                </w:rPr>
                              </w:pPr>
                              <w:r w:rsidRPr="00874C8B">
                                <w:rPr>
                                  <w:b/>
                                </w:rPr>
                                <w:t>Cost</w:t>
                              </w:r>
                            </w:p>
                          </w:tc>
                          <w:tc>
                            <w:tcPr>
                              <w:tcW w:w="7970" w:type="dxa"/>
                            </w:tcPr>
                            <w:p w:rsidR="00874C8B" w:rsidRPr="00874C8B" w:rsidRDefault="00874C8B" w:rsidP="00A5503A">
                              <w:r w:rsidRPr="00874C8B">
                                <w:t>$</w:t>
                              </w:r>
                              <w:r w:rsidR="00A5503A">
                                <w:t>150</w:t>
                              </w:r>
                            </w:p>
                          </w:tc>
                        </w:tr>
                      </w:tbl>
                      <w:p w:rsidR="00874C8B" w:rsidRDefault="00874C8B"/>
                    </w:txbxContent>
                  </v:textbox>
                </v:shape>
              </w:pict>
            </w:r>
          </w:p>
        </w:tc>
      </w:tr>
    </w:tbl>
    <w:p w:rsidR="00B66B44" w:rsidRPr="00874C8B" w:rsidRDefault="000A0942" w:rsidP="00874C8B">
      <w:pPr>
        <w:pStyle w:val="BodyText"/>
        <w:spacing w:before="7"/>
        <w:rPr>
          <w:b/>
          <w:sz w:val="57"/>
        </w:rPr>
        <w:sectPr w:rsidR="00B66B44" w:rsidRPr="00874C8B">
          <w:pgSz w:w="12240" w:h="15840"/>
          <w:pgMar w:top="820" w:right="0" w:bottom="280" w:left="200" w:header="720" w:footer="720" w:gutter="0"/>
          <w:cols w:space="720"/>
        </w:sectPr>
      </w:pPr>
      <w:r>
        <w:rPr>
          <w:b/>
          <w:noProof/>
          <w:sz w:val="57"/>
          <w:lang w:bidi="ar-SA"/>
        </w:rPr>
        <w:pict>
          <v:shape id="_x0000_s1101" type="#_x0000_t202" style="position:absolute;margin-left:92pt;margin-top:180.95pt;width:501pt;height:222.75pt;z-index:251670016;mso-position-horizontal-relative:text;mso-position-vertical-relative:text" stroked="f">
            <v:textbox>
              <w:txbxContent>
                <w:p w:rsidR="00874C8B" w:rsidRPr="00874C8B" w:rsidRDefault="00874C8B" w:rsidP="00874C8B">
                  <w:pPr>
                    <w:jc w:val="center"/>
                    <w:rPr>
                      <w:b/>
                      <w:sz w:val="40"/>
                      <w:szCs w:val="40"/>
                    </w:rPr>
                  </w:pPr>
                  <w:r w:rsidRPr="00874C8B">
                    <w:rPr>
                      <w:b/>
                      <w:sz w:val="40"/>
                      <w:szCs w:val="40"/>
                    </w:rPr>
                    <w:t>Staycation: Exploring Oswego County’s Challenges and Strengths</w:t>
                  </w:r>
                </w:p>
                <w:p w:rsidR="00874C8B" w:rsidRPr="00874C8B" w:rsidRDefault="00874C8B" w:rsidP="00874C8B">
                  <w:pPr>
                    <w:rPr>
                      <w:b/>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7970"/>
                  </w:tblGrid>
                  <w:tr w:rsidR="00874C8B" w:rsidRPr="00874C8B" w:rsidTr="002F1135">
                    <w:trPr>
                      <w:trHeight w:val="827"/>
                    </w:trPr>
                    <w:tc>
                      <w:tcPr>
                        <w:tcW w:w="1579" w:type="dxa"/>
                      </w:tcPr>
                      <w:p w:rsidR="00874C8B" w:rsidRPr="00874C8B" w:rsidRDefault="00874C8B" w:rsidP="00874C8B">
                        <w:pPr>
                          <w:rPr>
                            <w:b/>
                          </w:rPr>
                        </w:pPr>
                        <w:r w:rsidRPr="00874C8B">
                          <w:rPr>
                            <w:b/>
                          </w:rPr>
                          <w:t>Organization</w:t>
                        </w:r>
                      </w:p>
                    </w:tc>
                    <w:tc>
                      <w:tcPr>
                        <w:tcW w:w="7970" w:type="dxa"/>
                      </w:tcPr>
                      <w:p w:rsidR="00874C8B" w:rsidRPr="00E92030" w:rsidRDefault="00874C8B" w:rsidP="00874C8B">
                        <w:pPr>
                          <w:rPr>
                            <w:sz w:val="24"/>
                          </w:rPr>
                        </w:pPr>
                        <w:r w:rsidRPr="00E92030">
                          <w:rPr>
                            <w:sz w:val="24"/>
                          </w:rPr>
                          <w:t>Oswego Health, Oswego County Opportunities, ARISE, Richardson Bates House, Fort Ontario, and other local organizations.</w:t>
                        </w:r>
                      </w:p>
                    </w:tc>
                  </w:tr>
                  <w:tr w:rsidR="00874C8B" w:rsidRPr="00874C8B" w:rsidTr="002F1135">
                    <w:trPr>
                      <w:trHeight w:val="1348"/>
                    </w:trPr>
                    <w:tc>
                      <w:tcPr>
                        <w:tcW w:w="1579" w:type="dxa"/>
                      </w:tcPr>
                      <w:p w:rsidR="00874C8B" w:rsidRPr="00874C8B" w:rsidRDefault="00874C8B" w:rsidP="00874C8B">
                        <w:pPr>
                          <w:rPr>
                            <w:b/>
                          </w:rPr>
                        </w:pPr>
                        <w:r w:rsidRPr="00874C8B">
                          <w:rPr>
                            <w:b/>
                          </w:rPr>
                          <w:t>Service</w:t>
                        </w:r>
                      </w:p>
                    </w:tc>
                    <w:tc>
                      <w:tcPr>
                        <w:tcW w:w="7970" w:type="dxa"/>
                      </w:tcPr>
                      <w:p w:rsidR="00874C8B" w:rsidRPr="00874C8B" w:rsidRDefault="00874C8B" w:rsidP="00874C8B">
                        <w:r w:rsidRPr="00E92030">
                          <w:rPr>
                            <w:sz w:val="24"/>
                          </w:rPr>
                          <w:t>Participants will serve with a different organization each day. Service may include preparing and distributing meals, building wheel chair ramps, working with senior citizens, preserving local historical sites, and more. This trip allows participants to learn more about their Oswego home away from home.</w:t>
                        </w:r>
                      </w:p>
                    </w:tc>
                  </w:tr>
                  <w:tr w:rsidR="00874C8B" w:rsidRPr="00874C8B" w:rsidTr="002F1135">
                    <w:trPr>
                      <w:trHeight w:val="275"/>
                    </w:trPr>
                    <w:tc>
                      <w:tcPr>
                        <w:tcW w:w="1579" w:type="dxa"/>
                      </w:tcPr>
                      <w:p w:rsidR="00874C8B" w:rsidRPr="00874C8B" w:rsidRDefault="00874C8B" w:rsidP="00874C8B">
                        <w:pPr>
                          <w:rPr>
                            <w:b/>
                          </w:rPr>
                        </w:pPr>
                        <w:r w:rsidRPr="00874C8B">
                          <w:rPr>
                            <w:b/>
                          </w:rPr>
                          <w:t>Location</w:t>
                        </w:r>
                      </w:p>
                    </w:tc>
                    <w:tc>
                      <w:tcPr>
                        <w:tcW w:w="7970" w:type="dxa"/>
                      </w:tcPr>
                      <w:p w:rsidR="00874C8B" w:rsidRPr="00874C8B" w:rsidRDefault="00874C8B" w:rsidP="00874C8B">
                        <w:r w:rsidRPr="00874C8B">
                          <w:t>Oswego County, NY</w:t>
                        </w:r>
                      </w:p>
                    </w:tc>
                  </w:tr>
                  <w:tr w:rsidR="00874C8B" w:rsidRPr="00874C8B" w:rsidTr="002F1135">
                    <w:trPr>
                      <w:trHeight w:val="275"/>
                    </w:trPr>
                    <w:tc>
                      <w:tcPr>
                        <w:tcW w:w="1579" w:type="dxa"/>
                      </w:tcPr>
                      <w:p w:rsidR="00874C8B" w:rsidRPr="00874C8B" w:rsidRDefault="00874C8B" w:rsidP="00874C8B">
                        <w:pPr>
                          <w:rPr>
                            <w:b/>
                          </w:rPr>
                        </w:pPr>
                        <w:r w:rsidRPr="00874C8B">
                          <w:rPr>
                            <w:b/>
                          </w:rPr>
                          <w:t>Cost</w:t>
                        </w:r>
                      </w:p>
                    </w:tc>
                    <w:tc>
                      <w:tcPr>
                        <w:tcW w:w="7970" w:type="dxa"/>
                      </w:tcPr>
                      <w:p w:rsidR="00874C8B" w:rsidRPr="00874C8B" w:rsidRDefault="00874C8B" w:rsidP="00874C8B">
                        <w:r w:rsidRPr="00874C8B">
                          <w:t>$25</w:t>
                        </w:r>
                      </w:p>
                    </w:tc>
                  </w:tr>
                </w:tbl>
                <w:p w:rsidR="00874C8B" w:rsidRDefault="00874C8B"/>
              </w:txbxContent>
            </v:textbox>
          </v:shape>
        </w:pict>
      </w:r>
    </w:p>
    <w:p w:rsidR="00B66B44" w:rsidRPr="00874C8B" w:rsidRDefault="000A0942" w:rsidP="00874C8B">
      <w:pPr>
        <w:spacing w:before="65" w:line="276" w:lineRule="auto"/>
        <w:ind w:right="2885"/>
        <w:rPr>
          <w:b/>
          <w:sz w:val="44"/>
        </w:rPr>
      </w:pPr>
      <w:r>
        <w:lastRenderedPageBreak/>
        <w:pict>
          <v:group id="_x0000_s1075" style="position:absolute;margin-left:0;margin-top:.5pt;width:596.65pt;height:776.8pt;z-index:-251666944;mso-position-horizontal-relative:page;mso-position-vertical-relative:page" coordsize="11933,15536">
            <v:shape id="_x0000_s1078" type="#_x0000_t75" style="position:absolute;left:10293;width:1640;height:15536">
              <v:imagedata r:id="rId11" o:title=""/>
            </v:shape>
            <v:shape id="_x0000_s1077" style="position:absolute;top:153;width:10291;height:5489" coordorigin=",154" coordsize="10291,5489" o:spt="100" adj="0,,0" path="m10290,5414l,5414r,228l10290,5642r,-228m10290,154l,154,,380r10290,l10290,154e" fillcolor="#828282" stroked="f">
              <v:stroke joinstyle="round"/>
              <v:formulas/>
              <v:path arrowok="t" o:connecttype="segments"/>
            </v:shape>
            <v:rect id="_x0000_s1076" style="position:absolute;top:10094;width:10294;height:212" fillcolor="gray" stroked="f"/>
            <w10:wrap anchorx="page" anchory="page"/>
          </v:group>
        </w:pict>
      </w:r>
    </w:p>
    <w:p w:rsidR="00B66B44" w:rsidRDefault="000A0942">
      <w:pPr>
        <w:ind w:left="232"/>
        <w:rPr>
          <w:b/>
          <w:sz w:val="40"/>
        </w:rPr>
      </w:pPr>
      <w:r>
        <w:pict>
          <v:shape id="_x0000_s1074" type="#_x0000_t202" style="position:absolute;left:0;text-align:left;margin-left:514.45pt;margin-top:14.5pt;width:77.35pt;height:646.15pt;z-index:251646464;mso-position-horizontal-relative:page" filled="f" stroked="f">
            <v:textbox style="layout-flow:vertical" inset="0,0,0,0">
              <w:txbxContent>
                <w:p w:rsidR="00B66B44" w:rsidRDefault="00E92030">
                  <w:pPr>
                    <w:spacing w:line="1527" w:lineRule="exact"/>
                    <w:ind w:left="20"/>
                    <w:rPr>
                      <w:sz w:val="136"/>
                    </w:rPr>
                  </w:pPr>
                  <w:r>
                    <w:rPr>
                      <w:color w:val="FFC000"/>
                      <w:sz w:val="136"/>
                    </w:rPr>
                    <w:t>TRIP DESCRIPTIONS</w:t>
                  </w:r>
                </w:p>
              </w:txbxContent>
            </v:textbox>
            <w10:wrap anchorx="page"/>
          </v:shape>
        </w:pict>
      </w:r>
      <w:r w:rsidR="00E92030">
        <w:rPr>
          <w:b/>
          <w:sz w:val="40"/>
        </w:rPr>
        <w:t>Poco a Poco: English Language Learning with Spanish</w:t>
      </w:r>
    </w:p>
    <w:p w:rsidR="00B66B44" w:rsidRDefault="00E92030">
      <w:pPr>
        <w:spacing w:before="1"/>
        <w:ind w:left="3829"/>
        <w:rPr>
          <w:b/>
          <w:sz w:val="40"/>
        </w:rPr>
      </w:pPr>
      <w:r>
        <w:rPr>
          <w:b/>
          <w:sz w:val="40"/>
        </w:rPr>
        <w:t>Speaking Youth</w:t>
      </w:r>
    </w:p>
    <w:p w:rsidR="00B66B44" w:rsidRDefault="00B66B44">
      <w:pPr>
        <w:pStyle w:val="BodyText"/>
        <w:rPr>
          <w:b/>
          <w:sz w:val="20"/>
        </w:rPr>
      </w:pPr>
    </w:p>
    <w:p w:rsidR="00B66B44" w:rsidRDefault="00B66B44">
      <w:pPr>
        <w:pStyle w:val="BodyText"/>
        <w:rPr>
          <w:b/>
          <w:sz w:val="20"/>
        </w:rPr>
      </w:pPr>
    </w:p>
    <w:p w:rsidR="00B66B44" w:rsidRDefault="00B66B44">
      <w:pPr>
        <w:pStyle w:val="BodyText"/>
        <w:spacing w:before="3"/>
        <w:rPr>
          <w:b/>
          <w:sz w:val="10"/>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7970"/>
      </w:tblGrid>
      <w:tr w:rsidR="00B66B44">
        <w:trPr>
          <w:trHeight w:val="825"/>
        </w:trPr>
        <w:tc>
          <w:tcPr>
            <w:tcW w:w="1579" w:type="dxa"/>
          </w:tcPr>
          <w:p w:rsidR="00B66B44" w:rsidRDefault="00E92030">
            <w:pPr>
              <w:pStyle w:val="TableParagraph"/>
              <w:spacing w:line="270" w:lineRule="exact"/>
              <w:ind w:left="119"/>
              <w:rPr>
                <w:b/>
                <w:sz w:val="24"/>
              </w:rPr>
            </w:pPr>
            <w:r>
              <w:rPr>
                <w:b/>
                <w:sz w:val="24"/>
              </w:rPr>
              <w:t>Organization</w:t>
            </w:r>
          </w:p>
        </w:tc>
        <w:tc>
          <w:tcPr>
            <w:tcW w:w="7970" w:type="dxa"/>
          </w:tcPr>
          <w:p w:rsidR="00B66B44" w:rsidRDefault="00E92030">
            <w:pPr>
              <w:pStyle w:val="TableParagraph"/>
              <w:spacing w:line="230" w:lineRule="auto"/>
              <w:ind w:left="117" w:right="85"/>
              <w:jc w:val="both"/>
              <w:rPr>
                <w:sz w:val="24"/>
              </w:rPr>
            </w:pPr>
            <w:r>
              <w:rPr>
                <w:i/>
                <w:sz w:val="24"/>
              </w:rPr>
              <w:t>Outreach 360</w:t>
            </w:r>
            <w:r>
              <w:rPr>
                <w:sz w:val="24"/>
              </w:rPr>
              <w:t xml:space="preserve">'s vision is a world in which every child lives a life of choice. They focus on education, particularly English literacy, and community health </w:t>
            </w:r>
            <w:r>
              <w:rPr>
                <w:spacing w:val="-6"/>
                <w:sz w:val="24"/>
              </w:rPr>
              <w:t xml:space="preserve">as </w:t>
            </w:r>
            <w:r>
              <w:rPr>
                <w:spacing w:val="-4"/>
                <w:sz w:val="24"/>
              </w:rPr>
              <w:t xml:space="preserve">ways </w:t>
            </w:r>
            <w:r>
              <w:rPr>
                <w:spacing w:val="-3"/>
                <w:sz w:val="24"/>
              </w:rPr>
              <w:t xml:space="preserve">to </w:t>
            </w:r>
            <w:r>
              <w:rPr>
                <w:spacing w:val="-5"/>
                <w:sz w:val="24"/>
              </w:rPr>
              <w:t xml:space="preserve">increase opportunity </w:t>
            </w:r>
            <w:r>
              <w:rPr>
                <w:spacing w:val="-4"/>
                <w:sz w:val="24"/>
              </w:rPr>
              <w:t xml:space="preserve">for youth with </w:t>
            </w:r>
            <w:r>
              <w:rPr>
                <w:spacing w:val="-5"/>
                <w:sz w:val="24"/>
              </w:rPr>
              <w:t>limited</w:t>
            </w:r>
            <w:r>
              <w:rPr>
                <w:spacing w:val="-7"/>
                <w:sz w:val="24"/>
              </w:rPr>
              <w:t xml:space="preserve"> </w:t>
            </w:r>
            <w:r>
              <w:rPr>
                <w:spacing w:val="-5"/>
                <w:sz w:val="24"/>
              </w:rPr>
              <w:t>opportunities.</w:t>
            </w:r>
          </w:p>
        </w:tc>
      </w:tr>
      <w:tr w:rsidR="00B66B44">
        <w:trPr>
          <w:trHeight w:val="827"/>
        </w:trPr>
        <w:tc>
          <w:tcPr>
            <w:tcW w:w="1579" w:type="dxa"/>
          </w:tcPr>
          <w:p w:rsidR="00B66B44" w:rsidRDefault="00E92030">
            <w:pPr>
              <w:pStyle w:val="TableParagraph"/>
              <w:spacing w:line="270" w:lineRule="exact"/>
              <w:ind w:left="119"/>
              <w:rPr>
                <w:b/>
                <w:sz w:val="24"/>
              </w:rPr>
            </w:pPr>
            <w:r>
              <w:rPr>
                <w:b/>
                <w:sz w:val="24"/>
              </w:rPr>
              <w:t>Service</w:t>
            </w:r>
          </w:p>
        </w:tc>
        <w:tc>
          <w:tcPr>
            <w:tcW w:w="7970" w:type="dxa"/>
          </w:tcPr>
          <w:p w:rsidR="00B66B44" w:rsidRDefault="00E92030">
            <w:pPr>
              <w:pStyle w:val="TableParagraph"/>
              <w:spacing w:line="230" w:lineRule="auto"/>
              <w:ind w:left="117" w:right="134"/>
              <w:rPr>
                <w:sz w:val="24"/>
              </w:rPr>
            </w:pPr>
            <w:r>
              <w:rPr>
                <w:sz w:val="24"/>
              </w:rPr>
              <w:t>This trip is open to all majors, not just education. Assist English teachers in classroom engagement and lesson planning in rural schools. Work with youth in after-school programs that incorporate learning into play.</w:t>
            </w:r>
          </w:p>
        </w:tc>
      </w:tr>
      <w:tr w:rsidR="00B66B44">
        <w:trPr>
          <w:trHeight w:val="273"/>
        </w:trPr>
        <w:tc>
          <w:tcPr>
            <w:tcW w:w="1579" w:type="dxa"/>
          </w:tcPr>
          <w:p w:rsidR="00B66B44" w:rsidRDefault="00E92030">
            <w:pPr>
              <w:pStyle w:val="TableParagraph"/>
              <w:spacing w:line="253" w:lineRule="exact"/>
              <w:ind w:left="119"/>
              <w:rPr>
                <w:b/>
                <w:sz w:val="24"/>
              </w:rPr>
            </w:pPr>
            <w:r>
              <w:rPr>
                <w:b/>
                <w:sz w:val="24"/>
              </w:rPr>
              <w:t>Location</w:t>
            </w:r>
          </w:p>
        </w:tc>
        <w:tc>
          <w:tcPr>
            <w:tcW w:w="7970" w:type="dxa"/>
          </w:tcPr>
          <w:p w:rsidR="00B66B44" w:rsidRDefault="00E92030">
            <w:pPr>
              <w:pStyle w:val="TableParagraph"/>
              <w:spacing w:line="253" w:lineRule="exact"/>
              <w:ind w:left="117"/>
              <w:rPr>
                <w:sz w:val="24"/>
              </w:rPr>
            </w:pPr>
            <w:r>
              <w:rPr>
                <w:sz w:val="24"/>
              </w:rPr>
              <w:t xml:space="preserve">Monte </w:t>
            </w:r>
            <w:proofErr w:type="spellStart"/>
            <w:r>
              <w:rPr>
                <w:sz w:val="24"/>
              </w:rPr>
              <w:t>Cristi</w:t>
            </w:r>
            <w:proofErr w:type="spellEnd"/>
            <w:r>
              <w:rPr>
                <w:sz w:val="24"/>
              </w:rPr>
              <w:t>, Dominican Republic</w:t>
            </w:r>
          </w:p>
        </w:tc>
      </w:tr>
      <w:tr w:rsidR="00B66B44">
        <w:trPr>
          <w:trHeight w:val="275"/>
        </w:trPr>
        <w:tc>
          <w:tcPr>
            <w:tcW w:w="1579" w:type="dxa"/>
          </w:tcPr>
          <w:p w:rsidR="00B66B44" w:rsidRDefault="00E92030">
            <w:pPr>
              <w:pStyle w:val="TableParagraph"/>
              <w:spacing w:line="256" w:lineRule="exact"/>
              <w:ind w:left="119"/>
              <w:rPr>
                <w:b/>
                <w:sz w:val="24"/>
              </w:rPr>
            </w:pPr>
            <w:r>
              <w:rPr>
                <w:b/>
                <w:sz w:val="24"/>
              </w:rPr>
              <w:t>Cost</w:t>
            </w:r>
          </w:p>
        </w:tc>
        <w:tc>
          <w:tcPr>
            <w:tcW w:w="7970" w:type="dxa"/>
          </w:tcPr>
          <w:p w:rsidR="00B66B44" w:rsidRDefault="00E92030">
            <w:pPr>
              <w:pStyle w:val="TableParagraph"/>
              <w:spacing w:line="256" w:lineRule="exact"/>
              <w:ind w:left="117"/>
              <w:rPr>
                <w:sz w:val="24"/>
              </w:rPr>
            </w:pPr>
            <w:r>
              <w:rPr>
                <w:sz w:val="24"/>
              </w:rPr>
              <w:t>$1,100</w:t>
            </w:r>
          </w:p>
        </w:tc>
      </w:tr>
    </w:tbl>
    <w:p w:rsidR="00B66B44" w:rsidRDefault="00B66B44">
      <w:pPr>
        <w:pStyle w:val="BodyText"/>
        <w:rPr>
          <w:b/>
          <w:sz w:val="20"/>
        </w:rPr>
      </w:pPr>
    </w:p>
    <w:p w:rsidR="00B66B44" w:rsidRDefault="00B66B44">
      <w:pPr>
        <w:pStyle w:val="BodyText"/>
        <w:rPr>
          <w:b/>
          <w:sz w:val="20"/>
        </w:rPr>
      </w:pPr>
    </w:p>
    <w:p w:rsidR="00350FE9" w:rsidRDefault="00350FE9" w:rsidP="00350FE9">
      <w:pPr>
        <w:pStyle w:val="BodyText"/>
        <w:rPr>
          <w:i/>
        </w:rPr>
      </w:pPr>
    </w:p>
    <w:p w:rsidR="00350FE9" w:rsidRDefault="000A0942" w:rsidP="00350FE9">
      <w:pPr>
        <w:spacing w:before="57" w:line="276" w:lineRule="auto"/>
        <w:ind w:right="243"/>
        <w:rPr>
          <w:i/>
          <w:sz w:val="24"/>
        </w:rPr>
      </w:pPr>
      <w:r>
        <w:rPr>
          <w:noProof/>
          <w:sz w:val="24"/>
          <w:lang w:bidi="ar-SA"/>
        </w:rPr>
        <w:pict>
          <v:shape id="_x0000_s1103" type="#_x0000_t202" style="position:absolute;margin-left:-.25pt;margin-top:6.05pt;width:501pt;height:215.4pt;z-index:251672064" stroked="f">
            <v:textbox style="mso-next-textbox:#_x0000_s1103">
              <w:txbxContent>
                <w:p w:rsidR="00E92030" w:rsidRPr="00765216" w:rsidRDefault="00E92030" w:rsidP="00E92030">
                  <w:pPr>
                    <w:jc w:val="center"/>
                    <w:rPr>
                      <w:b/>
                      <w:sz w:val="40"/>
                      <w:szCs w:val="38"/>
                    </w:rPr>
                  </w:pPr>
                  <w:r w:rsidRPr="00765216">
                    <w:rPr>
                      <w:b/>
                      <w:sz w:val="40"/>
                      <w:szCs w:val="38"/>
                    </w:rPr>
                    <w:t xml:space="preserve">Agua Limpia: Clean Water Efforts After </w:t>
                  </w:r>
                  <w:r w:rsidR="00765216" w:rsidRPr="00765216">
                    <w:rPr>
                      <w:b/>
                      <w:sz w:val="40"/>
                      <w:szCs w:val="38"/>
                    </w:rPr>
                    <w:t>Hurricane Maria</w:t>
                  </w:r>
                </w:p>
                <w:p w:rsidR="00E92030" w:rsidRPr="00765216" w:rsidRDefault="00E92030" w:rsidP="00E92030">
                  <w:pPr>
                    <w:rPr>
                      <w:b/>
                      <w:sz w:val="16"/>
                      <w:szCs w:val="16"/>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7970"/>
                  </w:tblGrid>
                  <w:tr w:rsidR="00E92030" w:rsidRPr="00874C8B" w:rsidTr="002F1135">
                    <w:trPr>
                      <w:trHeight w:val="827"/>
                    </w:trPr>
                    <w:tc>
                      <w:tcPr>
                        <w:tcW w:w="1579" w:type="dxa"/>
                      </w:tcPr>
                      <w:p w:rsidR="00E92030" w:rsidRPr="00874C8B" w:rsidRDefault="00E92030" w:rsidP="00874C8B">
                        <w:pPr>
                          <w:rPr>
                            <w:b/>
                          </w:rPr>
                        </w:pPr>
                        <w:r w:rsidRPr="00874C8B">
                          <w:rPr>
                            <w:b/>
                          </w:rPr>
                          <w:t>Organization</w:t>
                        </w:r>
                      </w:p>
                    </w:tc>
                    <w:tc>
                      <w:tcPr>
                        <w:tcW w:w="7970" w:type="dxa"/>
                      </w:tcPr>
                      <w:p w:rsidR="00E92030" w:rsidRPr="00874C8B" w:rsidRDefault="00E92030" w:rsidP="00874C8B">
                        <w:r w:rsidRPr="00E92030">
                          <w:rPr>
                            <w:sz w:val="24"/>
                          </w:rPr>
                          <w:t>Since Hurricane Maria, Proyecto Agua Limpia has distributed water filtration systems to families across Puerto Rico. Partnering with the Puerto Rico Science, Technology &amp; Research Trust and using a public health approach, they look at health issues related to water quality and contamination.</w:t>
                        </w:r>
                      </w:p>
                    </w:tc>
                  </w:tr>
                  <w:tr w:rsidR="00E92030" w:rsidRPr="00874C8B" w:rsidTr="002F1135">
                    <w:trPr>
                      <w:trHeight w:val="1348"/>
                    </w:trPr>
                    <w:tc>
                      <w:tcPr>
                        <w:tcW w:w="1579" w:type="dxa"/>
                      </w:tcPr>
                      <w:p w:rsidR="00E92030" w:rsidRPr="00874C8B" w:rsidRDefault="00E92030" w:rsidP="00874C8B">
                        <w:pPr>
                          <w:rPr>
                            <w:b/>
                          </w:rPr>
                        </w:pPr>
                        <w:r w:rsidRPr="00874C8B">
                          <w:rPr>
                            <w:b/>
                          </w:rPr>
                          <w:t>Service</w:t>
                        </w:r>
                      </w:p>
                    </w:tc>
                    <w:tc>
                      <w:tcPr>
                        <w:tcW w:w="7970" w:type="dxa"/>
                      </w:tcPr>
                      <w:p w:rsidR="00E92030" w:rsidRPr="00874C8B" w:rsidRDefault="00E92030" w:rsidP="00874C8B">
                        <w:r w:rsidRPr="00E92030">
                          <w:rPr>
                            <w:sz w:val="24"/>
                          </w:rPr>
                          <w:t xml:space="preserve">Distributing water filters to municipalities in Puerto Rico that do not have consistent access to clean water. Testing water quality and educating families on how to use water testing kits.  </w:t>
                        </w:r>
                      </w:p>
                    </w:tc>
                  </w:tr>
                  <w:tr w:rsidR="00E92030" w:rsidRPr="00874C8B" w:rsidTr="002F1135">
                    <w:trPr>
                      <w:trHeight w:val="275"/>
                    </w:trPr>
                    <w:tc>
                      <w:tcPr>
                        <w:tcW w:w="1579" w:type="dxa"/>
                      </w:tcPr>
                      <w:p w:rsidR="00E92030" w:rsidRPr="00874C8B" w:rsidRDefault="00E92030" w:rsidP="00874C8B">
                        <w:pPr>
                          <w:rPr>
                            <w:b/>
                          </w:rPr>
                        </w:pPr>
                        <w:r w:rsidRPr="00874C8B">
                          <w:rPr>
                            <w:b/>
                          </w:rPr>
                          <w:t>Location</w:t>
                        </w:r>
                      </w:p>
                    </w:tc>
                    <w:tc>
                      <w:tcPr>
                        <w:tcW w:w="7970" w:type="dxa"/>
                      </w:tcPr>
                      <w:p w:rsidR="00E92030" w:rsidRPr="00874C8B" w:rsidRDefault="00E92030" w:rsidP="00874C8B">
                        <w:r w:rsidRPr="00E92030">
                          <w:t>Multiple municipalities in Puerto Rico</w:t>
                        </w:r>
                      </w:p>
                    </w:tc>
                  </w:tr>
                  <w:tr w:rsidR="00E92030" w:rsidRPr="00874C8B" w:rsidTr="002F1135">
                    <w:trPr>
                      <w:trHeight w:val="275"/>
                    </w:trPr>
                    <w:tc>
                      <w:tcPr>
                        <w:tcW w:w="1579" w:type="dxa"/>
                      </w:tcPr>
                      <w:p w:rsidR="00E92030" w:rsidRPr="00874C8B" w:rsidRDefault="00E92030" w:rsidP="00874C8B">
                        <w:pPr>
                          <w:rPr>
                            <w:b/>
                          </w:rPr>
                        </w:pPr>
                        <w:r w:rsidRPr="00874C8B">
                          <w:rPr>
                            <w:b/>
                          </w:rPr>
                          <w:t>Cost</w:t>
                        </w:r>
                      </w:p>
                    </w:tc>
                    <w:tc>
                      <w:tcPr>
                        <w:tcW w:w="7970" w:type="dxa"/>
                      </w:tcPr>
                      <w:p w:rsidR="00E92030" w:rsidRPr="00874C8B" w:rsidRDefault="00E92030" w:rsidP="00E92030">
                        <w:r w:rsidRPr="00874C8B">
                          <w:t>$</w:t>
                        </w:r>
                        <w:r>
                          <w:t>500</w:t>
                        </w:r>
                      </w:p>
                    </w:tc>
                  </w:tr>
                </w:tbl>
                <w:p w:rsidR="00E92030" w:rsidRDefault="00E92030" w:rsidP="00E92030"/>
              </w:txbxContent>
            </v:textbox>
          </v:shape>
        </w:pict>
      </w:r>
    </w:p>
    <w:p w:rsidR="00765216" w:rsidRDefault="00765216" w:rsidP="00350FE9">
      <w:pPr>
        <w:spacing w:before="57" w:line="276" w:lineRule="auto"/>
        <w:ind w:right="243"/>
        <w:rPr>
          <w:i/>
          <w:sz w:val="24"/>
        </w:rPr>
      </w:pPr>
    </w:p>
    <w:sectPr w:rsidR="00765216" w:rsidSect="007F3493">
      <w:pgSz w:w="12240" w:h="15840"/>
      <w:pgMar w:top="460" w:right="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altName w:val="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53A0F"/>
    <w:multiLevelType w:val="hybridMultilevel"/>
    <w:tmpl w:val="FBEC4EA0"/>
    <w:lvl w:ilvl="0" w:tplc="D4681C36">
      <w:start w:val="1"/>
      <w:numFmt w:val="decimal"/>
      <w:lvlText w:val="%1."/>
      <w:lvlJc w:val="left"/>
      <w:pPr>
        <w:ind w:left="500" w:hanging="240"/>
      </w:pPr>
      <w:rPr>
        <w:rFonts w:ascii="Times New Roman" w:eastAsia="Times New Roman" w:hAnsi="Times New Roman" w:cs="Times New Roman" w:hint="default"/>
        <w:spacing w:val="-1"/>
        <w:w w:val="98"/>
        <w:sz w:val="24"/>
        <w:szCs w:val="24"/>
        <w:lang w:val="en-US" w:eastAsia="en-US" w:bidi="en-US"/>
      </w:rPr>
    </w:lvl>
    <w:lvl w:ilvl="1" w:tplc="95625E40">
      <w:numFmt w:val="bullet"/>
      <w:lvlText w:val="•"/>
      <w:lvlJc w:val="left"/>
      <w:pPr>
        <w:ind w:left="1654" w:hanging="240"/>
      </w:pPr>
      <w:rPr>
        <w:rFonts w:hint="default"/>
        <w:lang w:val="en-US" w:eastAsia="en-US" w:bidi="en-US"/>
      </w:rPr>
    </w:lvl>
    <w:lvl w:ilvl="2" w:tplc="4B1CF4C2">
      <w:numFmt w:val="bullet"/>
      <w:lvlText w:val="•"/>
      <w:lvlJc w:val="left"/>
      <w:pPr>
        <w:ind w:left="2808" w:hanging="240"/>
      </w:pPr>
      <w:rPr>
        <w:rFonts w:hint="default"/>
        <w:lang w:val="en-US" w:eastAsia="en-US" w:bidi="en-US"/>
      </w:rPr>
    </w:lvl>
    <w:lvl w:ilvl="3" w:tplc="73EEE2BE">
      <w:numFmt w:val="bullet"/>
      <w:lvlText w:val="•"/>
      <w:lvlJc w:val="left"/>
      <w:pPr>
        <w:ind w:left="3962" w:hanging="240"/>
      </w:pPr>
      <w:rPr>
        <w:rFonts w:hint="default"/>
        <w:lang w:val="en-US" w:eastAsia="en-US" w:bidi="en-US"/>
      </w:rPr>
    </w:lvl>
    <w:lvl w:ilvl="4" w:tplc="2258E1EA">
      <w:numFmt w:val="bullet"/>
      <w:lvlText w:val="•"/>
      <w:lvlJc w:val="left"/>
      <w:pPr>
        <w:ind w:left="5116" w:hanging="240"/>
      </w:pPr>
      <w:rPr>
        <w:rFonts w:hint="default"/>
        <w:lang w:val="en-US" w:eastAsia="en-US" w:bidi="en-US"/>
      </w:rPr>
    </w:lvl>
    <w:lvl w:ilvl="5" w:tplc="92CAF03A">
      <w:numFmt w:val="bullet"/>
      <w:lvlText w:val="•"/>
      <w:lvlJc w:val="left"/>
      <w:pPr>
        <w:ind w:left="6270" w:hanging="240"/>
      </w:pPr>
      <w:rPr>
        <w:rFonts w:hint="default"/>
        <w:lang w:val="en-US" w:eastAsia="en-US" w:bidi="en-US"/>
      </w:rPr>
    </w:lvl>
    <w:lvl w:ilvl="6" w:tplc="62B66DA2">
      <w:numFmt w:val="bullet"/>
      <w:lvlText w:val="•"/>
      <w:lvlJc w:val="left"/>
      <w:pPr>
        <w:ind w:left="7424" w:hanging="240"/>
      </w:pPr>
      <w:rPr>
        <w:rFonts w:hint="default"/>
        <w:lang w:val="en-US" w:eastAsia="en-US" w:bidi="en-US"/>
      </w:rPr>
    </w:lvl>
    <w:lvl w:ilvl="7" w:tplc="6C206510">
      <w:numFmt w:val="bullet"/>
      <w:lvlText w:val="•"/>
      <w:lvlJc w:val="left"/>
      <w:pPr>
        <w:ind w:left="8578" w:hanging="240"/>
      </w:pPr>
      <w:rPr>
        <w:rFonts w:hint="default"/>
        <w:lang w:val="en-US" w:eastAsia="en-US" w:bidi="en-US"/>
      </w:rPr>
    </w:lvl>
    <w:lvl w:ilvl="8" w:tplc="7CD44C0C">
      <w:numFmt w:val="bullet"/>
      <w:lvlText w:val="•"/>
      <w:lvlJc w:val="left"/>
      <w:pPr>
        <w:ind w:left="9732" w:hanging="240"/>
      </w:pPr>
      <w:rPr>
        <w:rFonts w:hint="default"/>
        <w:lang w:val="en-US" w:eastAsia="en-US" w:bidi="en-US"/>
      </w:rPr>
    </w:lvl>
  </w:abstractNum>
  <w:abstractNum w:abstractNumId="1" w15:restartNumberingAfterBreak="0">
    <w:nsid w:val="720E47EC"/>
    <w:multiLevelType w:val="hybridMultilevel"/>
    <w:tmpl w:val="B65677B8"/>
    <w:lvl w:ilvl="0" w:tplc="58D8CFD0">
      <w:numFmt w:val="bullet"/>
      <w:lvlText w:val=""/>
      <w:lvlJc w:val="left"/>
      <w:pPr>
        <w:ind w:left="880" w:hanging="360"/>
      </w:pPr>
      <w:rPr>
        <w:rFonts w:ascii="Symbol" w:eastAsia="Symbol" w:hAnsi="Symbol" w:cs="Symbol" w:hint="default"/>
        <w:w w:val="100"/>
        <w:sz w:val="28"/>
        <w:szCs w:val="28"/>
        <w:lang w:val="en-US" w:eastAsia="en-US" w:bidi="en-US"/>
      </w:rPr>
    </w:lvl>
    <w:lvl w:ilvl="1" w:tplc="F16AF310">
      <w:start w:val="1"/>
      <w:numFmt w:val="decimal"/>
      <w:lvlText w:val="%2."/>
      <w:lvlJc w:val="left"/>
      <w:pPr>
        <w:ind w:left="1208" w:hanging="360"/>
      </w:pPr>
      <w:rPr>
        <w:rFonts w:ascii="Times New Roman" w:eastAsia="Times New Roman" w:hAnsi="Times New Roman" w:cs="Times New Roman" w:hint="default"/>
        <w:spacing w:val="-9"/>
        <w:w w:val="98"/>
        <w:sz w:val="24"/>
        <w:szCs w:val="24"/>
        <w:lang w:val="en-US" w:eastAsia="en-US" w:bidi="en-US"/>
      </w:rPr>
    </w:lvl>
    <w:lvl w:ilvl="2" w:tplc="379CE378">
      <w:numFmt w:val="bullet"/>
      <w:lvlText w:val="•"/>
      <w:lvlJc w:val="left"/>
      <w:pPr>
        <w:ind w:left="2404" w:hanging="360"/>
      </w:pPr>
      <w:rPr>
        <w:rFonts w:hint="default"/>
        <w:lang w:val="en-US" w:eastAsia="en-US" w:bidi="en-US"/>
      </w:rPr>
    </w:lvl>
    <w:lvl w:ilvl="3" w:tplc="095EA0FC">
      <w:numFmt w:val="bullet"/>
      <w:lvlText w:val="•"/>
      <w:lvlJc w:val="left"/>
      <w:pPr>
        <w:ind w:left="3608" w:hanging="360"/>
      </w:pPr>
      <w:rPr>
        <w:rFonts w:hint="default"/>
        <w:lang w:val="en-US" w:eastAsia="en-US" w:bidi="en-US"/>
      </w:rPr>
    </w:lvl>
    <w:lvl w:ilvl="4" w:tplc="601A3E8C">
      <w:numFmt w:val="bullet"/>
      <w:lvlText w:val="•"/>
      <w:lvlJc w:val="left"/>
      <w:pPr>
        <w:ind w:left="4813" w:hanging="360"/>
      </w:pPr>
      <w:rPr>
        <w:rFonts w:hint="default"/>
        <w:lang w:val="en-US" w:eastAsia="en-US" w:bidi="en-US"/>
      </w:rPr>
    </w:lvl>
    <w:lvl w:ilvl="5" w:tplc="ED08CF88">
      <w:numFmt w:val="bullet"/>
      <w:lvlText w:val="•"/>
      <w:lvlJc w:val="left"/>
      <w:pPr>
        <w:ind w:left="6017" w:hanging="360"/>
      </w:pPr>
      <w:rPr>
        <w:rFonts w:hint="default"/>
        <w:lang w:val="en-US" w:eastAsia="en-US" w:bidi="en-US"/>
      </w:rPr>
    </w:lvl>
    <w:lvl w:ilvl="6" w:tplc="479241E6">
      <w:numFmt w:val="bullet"/>
      <w:lvlText w:val="•"/>
      <w:lvlJc w:val="left"/>
      <w:pPr>
        <w:ind w:left="7222" w:hanging="360"/>
      </w:pPr>
      <w:rPr>
        <w:rFonts w:hint="default"/>
        <w:lang w:val="en-US" w:eastAsia="en-US" w:bidi="en-US"/>
      </w:rPr>
    </w:lvl>
    <w:lvl w:ilvl="7" w:tplc="825229F8">
      <w:numFmt w:val="bullet"/>
      <w:lvlText w:val="•"/>
      <w:lvlJc w:val="left"/>
      <w:pPr>
        <w:ind w:left="8426" w:hanging="360"/>
      </w:pPr>
      <w:rPr>
        <w:rFonts w:hint="default"/>
        <w:lang w:val="en-US" w:eastAsia="en-US" w:bidi="en-US"/>
      </w:rPr>
    </w:lvl>
    <w:lvl w:ilvl="8" w:tplc="9B7EAD46">
      <w:numFmt w:val="bullet"/>
      <w:lvlText w:val="•"/>
      <w:lvlJc w:val="left"/>
      <w:pPr>
        <w:ind w:left="9631" w:hanging="360"/>
      </w:pPr>
      <w:rPr>
        <w:rFonts w:hint="default"/>
        <w:lang w:val="en-US" w:eastAsia="en-US" w:bidi="en-US"/>
      </w:rPr>
    </w:lvl>
  </w:abstractNum>
  <w:abstractNum w:abstractNumId="2" w15:restartNumberingAfterBreak="0">
    <w:nsid w:val="7F4F3CEA"/>
    <w:multiLevelType w:val="hybridMultilevel"/>
    <w:tmpl w:val="3B06D78C"/>
    <w:lvl w:ilvl="0" w:tplc="B0007844">
      <w:numFmt w:val="bullet"/>
      <w:lvlText w:val="■"/>
      <w:lvlJc w:val="left"/>
      <w:pPr>
        <w:ind w:left="1240" w:hanging="207"/>
      </w:pPr>
      <w:rPr>
        <w:rFonts w:ascii="Times New Roman" w:eastAsia="Times New Roman" w:hAnsi="Times New Roman" w:cs="Times New Roman" w:hint="default"/>
        <w:w w:val="100"/>
        <w:sz w:val="24"/>
        <w:szCs w:val="24"/>
        <w:lang w:val="en-US" w:eastAsia="en-US" w:bidi="en-US"/>
      </w:rPr>
    </w:lvl>
    <w:lvl w:ilvl="1" w:tplc="69CC59A0">
      <w:numFmt w:val="bullet"/>
      <w:lvlText w:val="•"/>
      <w:lvlJc w:val="left"/>
      <w:pPr>
        <w:ind w:left="2320" w:hanging="207"/>
      </w:pPr>
      <w:rPr>
        <w:rFonts w:hint="default"/>
        <w:lang w:val="en-US" w:eastAsia="en-US" w:bidi="en-US"/>
      </w:rPr>
    </w:lvl>
    <w:lvl w:ilvl="2" w:tplc="C212A464">
      <w:numFmt w:val="bullet"/>
      <w:lvlText w:val="•"/>
      <w:lvlJc w:val="left"/>
      <w:pPr>
        <w:ind w:left="3400" w:hanging="207"/>
      </w:pPr>
      <w:rPr>
        <w:rFonts w:hint="default"/>
        <w:lang w:val="en-US" w:eastAsia="en-US" w:bidi="en-US"/>
      </w:rPr>
    </w:lvl>
    <w:lvl w:ilvl="3" w:tplc="0FDCEC88">
      <w:numFmt w:val="bullet"/>
      <w:lvlText w:val="•"/>
      <w:lvlJc w:val="left"/>
      <w:pPr>
        <w:ind w:left="4480" w:hanging="207"/>
      </w:pPr>
      <w:rPr>
        <w:rFonts w:hint="default"/>
        <w:lang w:val="en-US" w:eastAsia="en-US" w:bidi="en-US"/>
      </w:rPr>
    </w:lvl>
    <w:lvl w:ilvl="4" w:tplc="E5F8F6B6">
      <w:numFmt w:val="bullet"/>
      <w:lvlText w:val="•"/>
      <w:lvlJc w:val="left"/>
      <w:pPr>
        <w:ind w:left="5560" w:hanging="207"/>
      </w:pPr>
      <w:rPr>
        <w:rFonts w:hint="default"/>
        <w:lang w:val="en-US" w:eastAsia="en-US" w:bidi="en-US"/>
      </w:rPr>
    </w:lvl>
    <w:lvl w:ilvl="5" w:tplc="4AFC27D8">
      <w:numFmt w:val="bullet"/>
      <w:lvlText w:val="•"/>
      <w:lvlJc w:val="left"/>
      <w:pPr>
        <w:ind w:left="6640" w:hanging="207"/>
      </w:pPr>
      <w:rPr>
        <w:rFonts w:hint="default"/>
        <w:lang w:val="en-US" w:eastAsia="en-US" w:bidi="en-US"/>
      </w:rPr>
    </w:lvl>
    <w:lvl w:ilvl="6" w:tplc="034860B2">
      <w:numFmt w:val="bullet"/>
      <w:lvlText w:val="•"/>
      <w:lvlJc w:val="left"/>
      <w:pPr>
        <w:ind w:left="7720" w:hanging="207"/>
      </w:pPr>
      <w:rPr>
        <w:rFonts w:hint="default"/>
        <w:lang w:val="en-US" w:eastAsia="en-US" w:bidi="en-US"/>
      </w:rPr>
    </w:lvl>
    <w:lvl w:ilvl="7" w:tplc="069C1002">
      <w:numFmt w:val="bullet"/>
      <w:lvlText w:val="•"/>
      <w:lvlJc w:val="left"/>
      <w:pPr>
        <w:ind w:left="8800" w:hanging="207"/>
      </w:pPr>
      <w:rPr>
        <w:rFonts w:hint="default"/>
        <w:lang w:val="en-US" w:eastAsia="en-US" w:bidi="en-US"/>
      </w:rPr>
    </w:lvl>
    <w:lvl w:ilvl="8" w:tplc="699C0E78">
      <w:numFmt w:val="bullet"/>
      <w:lvlText w:val="•"/>
      <w:lvlJc w:val="left"/>
      <w:pPr>
        <w:ind w:left="9880" w:hanging="207"/>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66B44"/>
    <w:rsid w:val="000A0942"/>
    <w:rsid w:val="0012585D"/>
    <w:rsid w:val="001F5B29"/>
    <w:rsid w:val="00350FE9"/>
    <w:rsid w:val="004008B2"/>
    <w:rsid w:val="004744CD"/>
    <w:rsid w:val="004B7438"/>
    <w:rsid w:val="005649AC"/>
    <w:rsid w:val="007516C5"/>
    <w:rsid w:val="00765216"/>
    <w:rsid w:val="007F3493"/>
    <w:rsid w:val="00874C8B"/>
    <w:rsid w:val="00966BFC"/>
    <w:rsid w:val="00A5503A"/>
    <w:rsid w:val="00B42552"/>
    <w:rsid w:val="00B66B44"/>
    <w:rsid w:val="00B86FAB"/>
    <w:rsid w:val="00E9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4:docId w14:val="684B00E7"/>
  <w15:docId w15:val="{F235DCFD-7F49-4A1E-90EE-B7E0AD4D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32"/>
      <w:outlineLvl w:val="0"/>
    </w:pPr>
    <w:rPr>
      <w:b/>
      <w:bCs/>
      <w:sz w:val="40"/>
      <w:szCs w:val="40"/>
    </w:rPr>
  </w:style>
  <w:style w:type="paragraph" w:styleId="Heading2">
    <w:name w:val="heading 2"/>
    <w:basedOn w:val="Normal"/>
    <w:uiPriority w:val="1"/>
    <w:qFormat/>
    <w:pPr>
      <w:spacing w:line="311" w:lineRule="exact"/>
      <w:ind w:left="45" w:right="243"/>
      <w:jc w:val="center"/>
      <w:outlineLvl w:val="1"/>
    </w:pPr>
    <w:rPr>
      <w:rFonts w:ascii="Bell MT" w:eastAsia="Bell MT" w:hAnsi="Bell MT" w:cs="Bell MT"/>
      <w:sz w:val="28"/>
      <w:szCs w:val="28"/>
    </w:rPr>
  </w:style>
  <w:style w:type="paragraph" w:styleId="Heading3">
    <w:name w:val="heading 3"/>
    <w:basedOn w:val="Normal"/>
    <w:uiPriority w:val="1"/>
    <w:qFormat/>
    <w:pPr>
      <w:ind w:left="488"/>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5706</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Farrell</dc:creator>
  <cp:lastModifiedBy>cts-user</cp:lastModifiedBy>
  <cp:revision>11</cp:revision>
  <dcterms:created xsi:type="dcterms:W3CDTF">2018-10-18T14:47:00Z</dcterms:created>
  <dcterms:modified xsi:type="dcterms:W3CDTF">2018-10-30T18:42:00Z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Acrobat PDFMaker 18 for Word</vt:lpwstr>
  </property>
  <property fmtid="{D5CDD505-2E9C-101B-9397-08002B2CF9AE}" pid="4" name="LastSaved">
    <vt:filetime>2018-10-18T00:00:00Z</vt:filetime>
  </property>
</Properties>
</file>