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31B53" w14:textId="6BF0B567" w:rsidR="001A0A28" w:rsidRDefault="001A0A28" w:rsidP="001A0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sz w:val="28"/>
          <w:szCs w:val="28"/>
        </w:rPr>
      </w:pPr>
      <w:bookmarkStart w:id="0" w:name="_GoBack"/>
      <w:bookmarkEnd w:id="0"/>
      <w:r w:rsidRPr="001A0A28">
        <w:rPr>
          <w:rFonts w:cs="Times New Roman"/>
          <w:b/>
          <w:sz w:val="28"/>
          <w:szCs w:val="28"/>
        </w:rPr>
        <w:t>State University of New York at Oswego</w:t>
      </w:r>
    </w:p>
    <w:p w14:paraId="6B35E738" w14:textId="77777777" w:rsidR="001A0A28" w:rsidRPr="001A0A28" w:rsidRDefault="001A0A28" w:rsidP="001A0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sz w:val="28"/>
          <w:szCs w:val="28"/>
        </w:rPr>
      </w:pPr>
    </w:p>
    <w:p w14:paraId="235925CA" w14:textId="77777777" w:rsidR="001A0A28" w:rsidRPr="001A0A28" w:rsidRDefault="001A0A28" w:rsidP="001A0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sz w:val="28"/>
          <w:szCs w:val="28"/>
        </w:rPr>
      </w:pPr>
      <w:r w:rsidRPr="001A0A28">
        <w:rPr>
          <w:rFonts w:cs="Times New Roman"/>
          <w:b/>
          <w:sz w:val="28"/>
          <w:szCs w:val="28"/>
        </w:rPr>
        <w:t>Division of Academic Affairs</w:t>
      </w:r>
    </w:p>
    <w:p w14:paraId="093ED3B3" w14:textId="4D4D0034" w:rsidR="001A0A28" w:rsidRPr="001A0A28" w:rsidRDefault="001A0A28" w:rsidP="001A0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sz w:val="28"/>
          <w:szCs w:val="28"/>
        </w:rPr>
      </w:pPr>
      <w:r w:rsidRPr="001A0A28">
        <w:rPr>
          <w:rFonts w:cs="Times New Roman"/>
          <w:b/>
          <w:sz w:val="28"/>
          <w:szCs w:val="28"/>
        </w:rPr>
        <w:t>Reporting Guidelines for Annual Submission of Assessment Reports</w:t>
      </w:r>
    </w:p>
    <w:p w14:paraId="656F5712" w14:textId="77777777" w:rsidR="001A0A28" w:rsidRDefault="001A0A28" w:rsidP="003E0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3E230F38" w14:textId="4A4C1FDE" w:rsidR="003E0CA4" w:rsidRPr="001A0A28" w:rsidRDefault="00E01849" w:rsidP="003E0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2"/>
          <w:szCs w:val="22"/>
        </w:rPr>
      </w:pPr>
      <w:r w:rsidRPr="001A0A28">
        <w:rPr>
          <w:rFonts w:cs="Times New Roman"/>
          <w:sz w:val="22"/>
          <w:szCs w:val="22"/>
        </w:rPr>
        <w:tab/>
      </w:r>
    </w:p>
    <w:tbl>
      <w:tblPr>
        <w:tblStyle w:val="MediumShading2-Accent6"/>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6552"/>
      </w:tblGrid>
      <w:tr w:rsidR="00C70FF7" w:rsidRPr="001A0A28" w14:paraId="75F34CBE" w14:textId="77777777" w:rsidTr="00C70F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8" w:type="dxa"/>
            <w:tcBorders>
              <w:top w:val="none" w:sz="0" w:space="0" w:color="auto"/>
              <w:left w:val="none" w:sz="0" w:space="0" w:color="auto"/>
              <w:bottom w:val="none" w:sz="0" w:space="0" w:color="auto"/>
              <w:right w:val="none" w:sz="0" w:space="0" w:color="auto"/>
            </w:tcBorders>
            <w:shd w:val="clear" w:color="auto" w:fill="FBD4B4" w:themeFill="accent6" w:themeFillTint="66"/>
          </w:tcPr>
          <w:p w14:paraId="511E65B8" w14:textId="77777777" w:rsidR="00C70FF7" w:rsidRPr="001A0A28" w:rsidRDefault="00C70FF7" w:rsidP="00652906">
            <w:pPr>
              <w:jc w:val="center"/>
              <w:rPr>
                <w:color w:val="auto"/>
                <w:sz w:val="22"/>
                <w:szCs w:val="22"/>
              </w:rPr>
            </w:pPr>
            <w:r w:rsidRPr="001A0A28">
              <w:rPr>
                <w:color w:val="auto"/>
                <w:sz w:val="22"/>
                <w:szCs w:val="22"/>
              </w:rPr>
              <w:t>Due Date</w:t>
            </w:r>
          </w:p>
        </w:tc>
        <w:tc>
          <w:tcPr>
            <w:tcW w:w="6552" w:type="dxa"/>
            <w:tcBorders>
              <w:top w:val="none" w:sz="0" w:space="0" w:color="auto"/>
              <w:left w:val="none" w:sz="0" w:space="0" w:color="auto"/>
              <w:bottom w:val="none" w:sz="0" w:space="0" w:color="auto"/>
              <w:right w:val="none" w:sz="0" w:space="0" w:color="auto"/>
            </w:tcBorders>
            <w:shd w:val="clear" w:color="auto" w:fill="FBD4B4" w:themeFill="accent6" w:themeFillTint="66"/>
          </w:tcPr>
          <w:p w14:paraId="16312208" w14:textId="77777777" w:rsidR="00C70FF7" w:rsidRPr="001A0A28" w:rsidRDefault="00C70FF7" w:rsidP="00652906">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1A0A28">
              <w:rPr>
                <w:color w:val="auto"/>
                <w:sz w:val="22"/>
                <w:szCs w:val="22"/>
              </w:rPr>
              <w:t>Activity/Action</w:t>
            </w:r>
          </w:p>
        </w:tc>
      </w:tr>
      <w:tr w:rsidR="00C70FF7" w:rsidRPr="001A0A28" w14:paraId="77329ED7" w14:textId="77777777" w:rsidTr="003B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left w:val="none" w:sz="0" w:space="0" w:color="auto"/>
              <w:bottom w:val="none" w:sz="0" w:space="0" w:color="auto"/>
              <w:right w:val="none" w:sz="0" w:space="0" w:color="auto"/>
            </w:tcBorders>
            <w:shd w:val="clear" w:color="auto" w:fill="FBD4B4" w:themeFill="accent6" w:themeFillTint="66"/>
          </w:tcPr>
          <w:p w14:paraId="11D40BF0" w14:textId="72C2167C" w:rsidR="00C70FF7" w:rsidRPr="001A0A28" w:rsidRDefault="007D3F9C" w:rsidP="00841B13">
            <w:pPr>
              <w:rPr>
                <w:color w:val="auto"/>
                <w:sz w:val="22"/>
                <w:szCs w:val="22"/>
              </w:rPr>
            </w:pPr>
            <w:r w:rsidRPr="001A0A28">
              <w:rPr>
                <w:color w:val="auto"/>
                <w:sz w:val="22"/>
                <w:szCs w:val="22"/>
              </w:rPr>
              <w:t xml:space="preserve">June </w:t>
            </w:r>
            <w:r w:rsidR="00841B13">
              <w:rPr>
                <w:color w:val="auto"/>
                <w:sz w:val="22"/>
                <w:szCs w:val="22"/>
              </w:rPr>
              <w:t>19</w:t>
            </w:r>
          </w:p>
        </w:tc>
        <w:tc>
          <w:tcPr>
            <w:tcW w:w="6552" w:type="dxa"/>
            <w:shd w:val="clear" w:color="auto" w:fill="FDE9D9" w:themeFill="accent6" w:themeFillTint="33"/>
          </w:tcPr>
          <w:p w14:paraId="0EDAB3DB" w14:textId="5F00CD55" w:rsidR="00C70FF7" w:rsidRPr="001A0A28" w:rsidRDefault="00C70FF7" w:rsidP="00383A85">
            <w:pPr>
              <w:cnfStyle w:val="000000100000" w:firstRow="0" w:lastRow="0" w:firstColumn="0" w:lastColumn="0" w:oddVBand="0" w:evenVBand="0" w:oddHBand="1" w:evenHBand="0" w:firstRowFirstColumn="0" w:firstRowLastColumn="0" w:lastRowFirstColumn="0" w:lastRowLastColumn="0"/>
              <w:rPr>
                <w:sz w:val="22"/>
                <w:szCs w:val="22"/>
              </w:rPr>
            </w:pPr>
            <w:r w:rsidRPr="001A0A28">
              <w:rPr>
                <w:sz w:val="22"/>
                <w:szCs w:val="22"/>
              </w:rPr>
              <w:t>Dept./division examine results of assessment completed in their area during the previous academic cycle.  Report, as compiled by the dept./director is submitted regarding assessment activities completed, actions taken in response to assessment results, and assessment plan for upcoming academic year to the appropriate dean</w:t>
            </w:r>
            <w:r w:rsidR="008A3A39">
              <w:rPr>
                <w:sz w:val="22"/>
                <w:szCs w:val="22"/>
              </w:rPr>
              <w:t xml:space="preserve">.  (Graduate program reports should be submitted </w:t>
            </w:r>
            <w:r w:rsidR="00841B13">
              <w:rPr>
                <w:sz w:val="22"/>
                <w:szCs w:val="22"/>
              </w:rPr>
              <w:t>t</w:t>
            </w:r>
            <w:r w:rsidR="008A3A39">
              <w:rPr>
                <w:sz w:val="22"/>
                <w:szCs w:val="22"/>
              </w:rPr>
              <w:t>o the Graduate Dean.)</w:t>
            </w:r>
            <w:r w:rsidRPr="001A0A28">
              <w:rPr>
                <w:sz w:val="22"/>
                <w:szCs w:val="22"/>
              </w:rPr>
              <w:t xml:space="preserve">  Each dept./division will submit its report by </w:t>
            </w:r>
            <w:r w:rsidR="007D3F9C" w:rsidRPr="001A0A28">
              <w:rPr>
                <w:sz w:val="22"/>
                <w:szCs w:val="22"/>
              </w:rPr>
              <w:t xml:space="preserve">June </w:t>
            </w:r>
            <w:r w:rsidR="00383A85">
              <w:rPr>
                <w:sz w:val="22"/>
                <w:szCs w:val="22"/>
              </w:rPr>
              <w:t>19</w:t>
            </w:r>
            <w:r w:rsidR="007D3F9C" w:rsidRPr="001A0A28">
              <w:rPr>
                <w:sz w:val="22"/>
                <w:szCs w:val="22"/>
                <w:vertAlign w:val="superscript"/>
              </w:rPr>
              <w:t>th</w:t>
            </w:r>
            <w:r w:rsidRPr="001A0A28">
              <w:rPr>
                <w:sz w:val="22"/>
                <w:szCs w:val="22"/>
              </w:rPr>
              <w:t xml:space="preserve"> using the standard template (attached).</w:t>
            </w:r>
          </w:p>
        </w:tc>
      </w:tr>
      <w:tr w:rsidR="00C70FF7" w:rsidRPr="001A0A28" w14:paraId="3AD1829E" w14:textId="77777777" w:rsidTr="00C70FF7">
        <w:tc>
          <w:tcPr>
            <w:cnfStyle w:val="001000000000" w:firstRow="0" w:lastRow="0" w:firstColumn="1" w:lastColumn="0" w:oddVBand="0" w:evenVBand="0" w:oddHBand="0" w:evenHBand="0" w:firstRowFirstColumn="0" w:firstRowLastColumn="0" w:lastRowFirstColumn="0" w:lastRowLastColumn="0"/>
            <w:tcW w:w="1548" w:type="dxa"/>
            <w:tcBorders>
              <w:left w:val="none" w:sz="0" w:space="0" w:color="auto"/>
              <w:bottom w:val="none" w:sz="0" w:space="0" w:color="auto"/>
              <w:right w:val="none" w:sz="0" w:space="0" w:color="auto"/>
            </w:tcBorders>
            <w:shd w:val="clear" w:color="auto" w:fill="FBD4B4" w:themeFill="accent6" w:themeFillTint="66"/>
          </w:tcPr>
          <w:p w14:paraId="6C04867A" w14:textId="19CE6583" w:rsidR="00C70FF7" w:rsidRPr="001A0A28" w:rsidRDefault="00C70FF7" w:rsidP="00652906">
            <w:pPr>
              <w:rPr>
                <w:color w:val="auto"/>
                <w:sz w:val="22"/>
                <w:szCs w:val="22"/>
              </w:rPr>
            </w:pPr>
            <w:r w:rsidRPr="001A0A28">
              <w:rPr>
                <w:color w:val="auto"/>
                <w:sz w:val="22"/>
                <w:szCs w:val="22"/>
              </w:rPr>
              <w:t>July 30</w:t>
            </w:r>
          </w:p>
        </w:tc>
        <w:tc>
          <w:tcPr>
            <w:tcW w:w="6552" w:type="dxa"/>
          </w:tcPr>
          <w:p w14:paraId="04A7F793" w14:textId="7028C08B" w:rsidR="00C70FF7" w:rsidRPr="001A0A28" w:rsidRDefault="00C70FF7" w:rsidP="008A3A39">
            <w:pPr>
              <w:cnfStyle w:val="000000000000" w:firstRow="0" w:lastRow="0" w:firstColumn="0" w:lastColumn="0" w:oddVBand="0" w:evenVBand="0" w:oddHBand="0" w:evenHBand="0" w:firstRowFirstColumn="0" w:firstRowLastColumn="0" w:lastRowFirstColumn="0" w:lastRowLastColumn="0"/>
              <w:rPr>
                <w:sz w:val="22"/>
                <w:szCs w:val="22"/>
              </w:rPr>
            </w:pPr>
            <w:r w:rsidRPr="001A0A28">
              <w:rPr>
                <w:sz w:val="22"/>
                <w:szCs w:val="22"/>
              </w:rPr>
              <w:t xml:space="preserve">Deans review the results of assessment activities from the dept./division assessment reports and activities proposed for next academic </w:t>
            </w:r>
            <w:r w:rsidRPr="008A3A39">
              <w:rPr>
                <w:sz w:val="22"/>
                <w:szCs w:val="22"/>
              </w:rPr>
              <w:t>year. Each assessment report will receive a response regarding student outcome assessment and program review by the appropriate dean/associate dean by July 30</w:t>
            </w:r>
            <w:r w:rsidR="007D3F9C" w:rsidRPr="008A3A39">
              <w:rPr>
                <w:sz w:val="22"/>
                <w:szCs w:val="22"/>
                <w:vertAlign w:val="superscript"/>
              </w:rPr>
              <w:t>th</w:t>
            </w:r>
            <w:r w:rsidRPr="008A3A39">
              <w:rPr>
                <w:sz w:val="22"/>
                <w:szCs w:val="22"/>
              </w:rPr>
              <w:t>.  The</w:t>
            </w:r>
            <w:r w:rsidRPr="001A0A28">
              <w:rPr>
                <w:sz w:val="22"/>
                <w:szCs w:val="22"/>
              </w:rPr>
              <w:t xml:space="preserve"> Assessment Coordinator will provide support to deans to ensure that all assessment activities meet institutional expectations.</w:t>
            </w:r>
          </w:p>
        </w:tc>
      </w:tr>
      <w:tr w:rsidR="00C70FF7" w:rsidRPr="001A0A28" w14:paraId="057C9378" w14:textId="77777777" w:rsidTr="003B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left w:val="none" w:sz="0" w:space="0" w:color="auto"/>
              <w:bottom w:val="none" w:sz="0" w:space="0" w:color="auto"/>
              <w:right w:val="none" w:sz="0" w:space="0" w:color="auto"/>
            </w:tcBorders>
            <w:shd w:val="clear" w:color="auto" w:fill="FBD4B4" w:themeFill="accent6" w:themeFillTint="66"/>
          </w:tcPr>
          <w:p w14:paraId="128CB46E" w14:textId="56C85BA8" w:rsidR="00C70FF7" w:rsidRPr="001A0A28" w:rsidRDefault="00C70FF7" w:rsidP="00841B13">
            <w:pPr>
              <w:rPr>
                <w:color w:val="auto"/>
                <w:sz w:val="22"/>
                <w:szCs w:val="22"/>
              </w:rPr>
            </w:pPr>
            <w:r w:rsidRPr="001A0A28">
              <w:rPr>
                <w:color w:val="auto"/>
                <w:sz w:val="22"/>
                <w:szCs w:val="22"/>
              </w:rPr>
              <w:t xml:space="preserve">August </w:t>
            </w:r>
            <w:r w:rsidR="00841B13">
              <w:rPr>
                <w:color w:val="auto"/>
                <w:sz w:val="22"/>
                <w:szCs w:val="22"/>
              </w:rPr>
              <w:t>3</w:t>
            </w:r>
          </w:p>
        </w:tc>
        <w:tc>
          <w:tcPr>
            <w:tcW w:w="6552" w:type="dxa"/>
            <w:shd w:val="clear" w:color="auto" w:fill="FDE9D9" w:themeFill="accent6" w:themeFillTint="33"/>
          </w:tcPr>
          <w:p w14:paraId="3AF288F3" w14:textId="6A6A2666" w:rsidR="00C70FF7" w:rsidRPr="001A0A28" w:rsidRDefault="00C70FF7" w:rsidP="00383A85">
            <w:pPr>
              <w:cnfStyle w:val="000000100000" w:firstRow="0" w:lastRow="0" w:firstColumn="0" w:lastColumn="0" w:oddVBand="0" w:evenVBand="0" w:oddHBand="1" w:evenHBand="0" w:firstRowFirstColumn="0" w:firstRowLastColumn="0" w:lastRowFirstColumn="0" w:lastRowLastColumn="0"/>
              <w:rPr>
                <w:sz w:val="22"/>
                <w:szCs w:val="22"/>
              </w:rPr>
            </w:pPr>
            <w:r w:rsidRPr="001A0A28">
              <w:rPr>
                <w:sz w:val="22"/>
                <w:szCs w:val="22"/>
              </w:rPr>
              <w:t xml:space="preserve">Final assessment reports, responses by deans, and amended assessment plans will be submitted to the Office of Institutional Research and Assessment by August </w:t>
            </w:r>
            <w:r w:rsidR="00383A85">
              <w:rPr>
                <w:sz w:val="22"/>
                <w:szCs w:val="22"/>
              </w:rPr>
              <w:t>3</w:t>
            </w:r>
            <w:r w:rsidR="00383A85" w:rsidRPr="00383A85">
              <w:rPr>
                <w:sz w:val="22"/>
                <w:szCs w:val="22"/>
                <w:vertAlign w:val="superscript"/>
              </w:rPr>
              <w:t>rd</w:t>
            </w:r>
            <w:r w:rsidR="00383A85">
              <w:rPr>
                <w:sz w:val="22"/>
                <w:szCs w:val="22"/>
              </w:rPr>
              <w:t xml:space="preserve"> </w:t>
            </w:r>
            <w:r w:rsidR="00383A85" w:rsidRPr="001A0A28">
              <w:rPr>
                <w:sz w:val="22"/>
                <w:szCs w:val="22"/>
              </w:rPr>
              <w:t>by</w:t>
            </w:r>
            <w:r w:rsidRPr="001A0A28">
              <w:rPr>
                <w:sz w:val="22"/>
                <w:szCs w:val="22"/>
              </w:rPr>
              <w:t xml:space="preserve"> the deans.  The Office of Institutional Research will serve as the depository for all assessment reports and will ensure the college is prepared to provide information as needed to the campus community, external reviewers, and accrediting agencies, and that all assessment activities meet institutional expectations.</w:t>
            </w:r>
          </w:p>
        </w:tc>
      </w:tr>
      <w:tr w:rsidR="00C70FF7" w:rsidRPr="001A0A28" w14:paraId="22681CDE" w14:textId="77777777" w:rsidTr="00C70FF7">
        <w:tc>
          <w:tcPr>
            <w:cnfStyle w:val="001000000000" w:firstRow="0" w:lastRow="0" w:firstColumn="1" w:lastColumn="0" w:oddVBand="0" w:evenVBand="0" w:oddHBand="0" w:evenHBand="0" w:firstRowFirstColumn="0" w:firstRowLastColumn="0" w:lastRowFirstColumn="0" w:lastRowLastColumn="0"/>
            <w:tcW w:w="1548" w:type="dxa"/>
            <w:tcBorders>
              <w:left w:val="none" w:sz="0" w:space="0" w:color="auto"/>
              <w:bottom w:val="none" w:sz="0" w:space="0" w:color="auto"/>
              <w:right w:val="none" w:sz="0" w:space="0" w:color="auto"/>
            </w:tcBorders>
            <w:shd w:val="clear" w:color="auto" w:fill="FBD4B4" w:themeFill="accent6" w:themeFillTint="66"/>
          </w:tcPr>
          <w:p w14:paraId="1732171F" w14:textId="77777777" w:rsidR="00C70FF7" w:rsidRPr="001A0A28" w:rsidRDefault="00C70FF7" w:rsidP="00652906">
            <w:pPr>
              <w:rPr>
                <w:color w:val="auto"/>
                <w:sz w:val="22"/>
                <w:szCs w:val="22"/>
              </w:rPr>
            </w:pPr>
            <w:r w:rsidRPr="001A0A28">
              <w:rPr>
                <w:color w:val="auto"/>
                <w:sz w:val="22"/>
                <w:szCs w:val="22"/>
              </w:rPr>
              <w:t>September</w:t>
            </w:r>
          </w:p>
        </w:tc>
        <w:tc>
          <w:tcPr>
            <w:tcW w:w="6552" w:type="dxa"/>
          </w:tcPr>
          <w:p w14:paraId="77ADC066" w14:textId="77777777" w:rsidR="00C70FF7" w:rsidRPr="001A0A28" w:rsidRDefault="00C70FF7" w:rsidP="00652906">
            <w:pPr>
              <w:widowControl w:val="0"/>
              <w:tabs>
                <w:tab w:val="left" w:pos="560"/>
                <w:tab w:val="left" w:pos="131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sidRPr="001A0A28">
              <w:rPr>
                <w:sz w:val="22"/>
                <w:szCs w:val="22"/>
              </w:rPr>
              <w:t>Dept./divisions implement assessment activities for academic year.  The Assessment Coordinator supports departments in this process by sharing outstanding assessment activities and by maintaining a repository of good assessment practices and resources.</w:t>
            </w:r>
          </w:p>
          <w:p w14:paraId="5FBAF579" w14:textId="77777777" w:rsidR="00C70FF7" w:rsidRPr="001A0A28" w:rsidRDefault="00C70FF7" w:rsidP="00652906">
            <w:pPr>
              <w:cnfStyle w:val="000000000000" w:firstRow="0" w:lastRow="0" w:firstColumn="0" w:lastColumn="0" w:oddVBand="0" w:evenVBand="0" w:oddHBand="0" w:evenHBand="0" w:firstRowFirstColumn="0" w:firstRowLastColumn="0" w:lastRowFirstColumn="0" w:lastRowLastColumn="0"/>
              <w:rPr>
                <w:sz w:val="22"/>
                <w:szCs w:val="22"/>
              </w:rPr>
            </w:pPr>
          </w:p>
        </w:tc>
      </w:tr>
      <w:tr w:rsidR="00C70FF7" w:rsidRPr="001A0A28" w14:paraId="4257D72D" w14:textId="77777777" w:rsidTr="003B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left w:val="none" w:sz="0" w:space="0" w:color="auto"/>
              <w:bottom w:val="none" w:sz="0" w:space="0" w:color="auto"/>
              <w:right w:val="none" w:sz="0" w:space="0" w:color="auto"/>
            </w:tcBorders>
            <w:shd w:val="clear" w:color="auto" w:fill="FBD4B4" w:themeFill="accent6" w:themeFillTint="66"/>
          </w:tcPr>
          <w:p w14:paraId="0F28386F" w14:textId="77777777" w:rsidR="00C70FF7" w:rsidRPr="001A0A28" w:rsidRDefault="00C70FF7" w:rsidP="00652906">
            <w:pPr>
              <w:rPr>
                <w:color w:val="auto"/>
                <w:sz w:val="22"/>
                <w:szCs w:val="22"/>
              </w:rPr>
            </w:pPr>
            <w:r w:rsidRPr="001A0A28">
              <w:rPr>
                <w:color w:val="auto"/>
                <w:sz w:val="22"/>
                <w:szCs w:val="22"/>
              </w:rPr>
              <w:t>October 1</w:t>
            </w:r>
          </w:p>
        </w:tc>
        <w:tc>
          <w:tcPr>
            <w:tcW w:w="6552" w:type="dxa"/>
            <w:shd w:val="clear" w:color="auto" w:fill="FDE9D9" w:themeFill="accent6" w:themeFillTint="33"/>
          </w:tcPr>
          <w:p w14:paraId="1509AE41" w14:textId="72629835" w:rsidR="00C70FF7" w:rsidRPr="001A0A28" w:rsidRDefault="00C70FF7" w:rsidP="00652906">
            <w:pPr>
              <w:widowControl w:val="0"/>
              <w:tabs>
                <w:tab w:val="left" w:pos="560"/>
                <w:tab w:val="left" w:pos="122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FF0000"/>
                <w:sz w:val="22"/>
                <w:szCs w:val="22"/>
              </w:rPr>
            </w:pPr>
            <w:r w:rsidRPr="001A0A28">
              <w:rPr>
                <w:sz w:val="22"/>
                <w:szCs w:val="22"/>
              </w:rPr>
              <w:t>The Assessment Coordinator compiles by October 1</w:t>
            </w:r>
            <w:r w:rsidRPr="001A0A28">
              <w:rPr>
                <w:sz w:val="22"/>
                <w:szCs w:val="22"/>
                <w:vertAlign w:val="superscript"/>
              </w:rPr>
              <w:t>st</w:t>
            </w:r>
            <w:r w:rsidRPr="001A0A28">
              <w:rPr>
                <w:sz w:val="22"/>
                <w:szCs w:val="22"/>
              </w:rPr>
              <w:t xml:space="preserve"> each year, a comprehensive report that outlines department/division achievement</w:t>
            </w:r>
            <w:r w:rsidR="00383A85">
              <w:rPr>
                <w:sz w:val="22"/>
                <w:szCs w:val="22"/>
              </w:rPr>
              <w:t>s</w:t>
            </w:r>
            <w:r w:rsidRPr="001A0A28">
              <w:rPr>
                <w:sz w:val="22"/>
                <w:szCs w:val="22"/>
              </w:rPr>
              <w:t xml:space="preserve"> for the assessment cycle just completed.  The report includes a status report regarding implementation of improvements/resource allocation as a result of the previous year’s student learning assessment results. </w:t>
            </w:r>
          </w:p>
          <w:p w14:paraId="2F6EA25F" w14:textId="77777777" w:rsidR="00C70FF7" w:rsidRPr="001A0A28" w:rsidRDefault="00C70FF7" w:rsidP="00652906">
            <w:pPr>
              <w:cnfStyle w:val="000000100000" w:firstRow="0" w:lastRow="0" w:firstColumn="0" w:lastColumn="0" w:oddVBand="0" w:evenVBand="0" w:oddHBand="1" w:evenHBand="0" w:firstRowFirstColumn="0" w:firstRowLastColumn="0" w:lastRowFirstColumn="0" w:lastRowLastColumn="0"/>
              <w:rPr>
                <w:sz w:val="22"/>
                <w:szCs w:val="22"/>
              </w:rPr>
            </w:pPr>
          </w:p>
        </w:tc>
      </w:tr>
    </w:tbl>
    <w:p w14:paraId="6E39ADB1" w14:textId="77777777" w:rsidR="00E01849" w:rsidRPr="001A0A28" w:rsidRDefault="00E01849" w:rsidP="008E1E28">
      <w:pPr>
        <w:rPr>
          <w:rFonts w:cs="Times New Roman"/>
          <w:sz w:val="22"/>
          <w:szCs w:val="22"/>
        </w:rPr>
      </w:pPr>
    </w:p>
    <w:p w14:paraId="06428D91" w14:textId="4B762AA8" w:rsidR="00E01849" w:rsidRPr="008A3A39" w:rsidRDefault="00E01849" w:rsidP="008A3A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rPr>
      </w:pPr>
      <w:r w:rsidRPr="001A0A28">
        <w:rPr>
          <w:sz w:val="22"/>
          <w:szCs w:val="22"/>
        </w:rPr>
        <w:t>* “Department/</w:t>
      </w:r>
      <w:r w:rsidR="001A0A28" w:rsidRPr="001A0A28">
        <w:rPr>
          <w:sz w:val="22"/>
          <w:szCs w:val="22"/>
        </w:rPr>
        <w:t>programs</w:t>
      </w:r>
      <w:r w:rsidRPr="001A0A28">
        <w:rPr>
          <w:sz w:val="22"/>
          <w:szCs w:val="22"/>
        </w:rPr>
        <w:t xml:space="preserve">,” as nomenclature to identify the academic unit, should also be interpreted to include those interdisciplinary programs, which are shared by </w:t>
      </w:r>
      <w:r w:rsidR="00A67DC7" w:rsidRPr="001A0A28">
        <w:rPr>
          <w:sz w:val="22"/>
          <w:szCs w:val="22"/>
        </w:rPr>
        <w:t>two</w:t>
      </w:r>
      <w:r w:rsidRPr="001A0A28">
        <w:rPr>
          <w:sz w:val="22"/>
          <w:szCs w:val="22"/>
        </w:rPr>
        <w:t xml:space="preserve"> or more academic units and that have a coordinator.</w:t>
      </w:r>
    </w:p>
    <w:p w14:paraId="0D1D5BB0" w14:textId="6DEAF8DB" w:rsidR="001A0A28" w:rsidRDefault="008A3A39" w:rsidP="001A0A28">
      <w:pPr>
        <w:jc w:val="right"/>
        <w:rPr>
          <w:rFonts w:cs="Times New Roman"/>
          <w:sz w:val="20"/>
          <w:szCs w:val="20"/>
        </w:rPr>
      </w:pPr>
      <w:r>
        <w:rPr>
          <w:rFonts w:cs="Times New Roman"/>
          <w:sz w:val="20"/>
          <w:szCs w:val="20"/>
        </w:rPr>
        <w:t>Rev. 11/18/1</w:t>
      </w:r>
      <w:r w:rsidR="00383A85">
        <w:rPr>
          <w:rFonts w:cs="Times New Roman"/>
          <w:sz w:val="20"/>
          <w:szCs w:val="20"/>
        </w:rPr>
        <w:t>4</w:t>
      </w:r>
    </w:p>
    <w:p w14:paraId="6AD544F0" w14:textId="77777777" w:rsidR="000D67D2" w:rsidRDefault="000D67D2" w:rsidP="001A0A28">
      <w:pPr>
        <w:jc w:val="right"/>
        <w:rPr>
          <w:rFonts w:cs="Times New Roman"/>
          <w:sz w:val="20"/>
          <w:szCs w:val="20"/>
        </w:rPr>
      </w:pPr>
    </w:p>
    <w:p w14:paraId="12C295AA" w14:textId="77777777" w:rsidR="000D67D2" w:rsidRDefault="000D67D2" w:rsidP="001A0A28">
      <w:pPr>
        <w:jc w:val="right"/>
        <w:rPr>
          <w:rFonts w:cs="Times New Roman"/>
          <w:sz w:val="20"/>
          <w:szCs w:val="20"/>
        </w:rPr>
      </w:pPr>
    </w:p>
    <w:p w14:paraId="4DF45294" w14:textId="77777777" w:rsidR="000D67D2" w:rsidRDefault="000D67D2" w:rsidP="001A0A28">
      <w:pPr>
        <w:jc w:val="right"/>
        <w:rPr>
          <w:rFonts w:cs="Times New Roman"/>
          <w:sz w:val="20"/>
          <w:szCs w:val="20"/>
        </w:rPr>
      </w:pPr>
    </w:p>
    <w:p w14:paraId="544CA58B" w14:textId="600EB1B2" w:rsidR="000D67D2" w:rsidRPr="00C43649" w:rsidRDefault="000D67D2" w:rsidP="000D67D2">
      <w:pPr>
        <w:jc w:val="center"/>
        <w:rPr>
          <w:b/>
          <w:sz w:val="32"/>
          <w:szCs w:val="32"/>
        </w:rPr>
      </w:pPr>
      <w:r w:rsidRPr="00C43649">
        <w:rPr>
          <w:b/>
          <w:sz w:val="36"/>
          <w:szCs w:val="36"/>
        </w:rPr>
        <w:lastRenderedPageBreak/>
        <w:t>___</w:t>
      </w:r>
      <w:r w:rsidR="00FC6C67" w:rsidRPr="00FC6C67">
        <w:rPr>
          <w:b/>
          <w:sz w:val="36"/>
          <w:szCs w:val="36"/>
          <w:highlight w:val="yellow"/>
        </w:rPr>
        <w:t xml:space="preserve"> </w:t>
      </w:r>
      <w:r w:rsidR="00FC6C67" w:rsidRPr="00D303C7">
        <w:rPr>
          <w:b/>
          <w:sz w:val="36"/>
          <w:szCs w:val="36"/>
          <w:highlight w:val="yellow"/>
        </w:rPr>
        <w:t>Philosophy (fictional)</w:t>
      </w:r>
      <w:r w:rsidRPr="00C43649">
        <w:rPr>
          <w:b/>
          <w:sz w:val="36"/>
          <w:szCs w:val="36"/>
        </w:rPr>
        <w:t xml:space="preserve">____ </w:t>
      </w:r>
      <w:r w:rsidRPr="00C43649">
        <w:rPr>
          <w:b/>
          <w:sz w:val="32"/>
          <w:szCs w:val="32"/>
        </w:rPr>
        <w:t>Major Assessment Report and Plan</w:t>
      </w:r>
    </w:p>
    <w:p w14:paraId="1B779885" w14:textId="77777777" w:rsidR="000D67D2" w:rsidRPr="00C43649" w:rsidRDefault="000D67D2" w:rsidP="000D67D2">
      <w:pPr>
        <w:rPr>
          <w:b/>
          <w:color w:val="000000"/>
        </w:rPr>
      </w:pPr>
    </w:p>
    <w:p w14:paraId="5622E3AF" w14:textId="77777777" w:rsidR="000D67D2" w:rsidRPr="00C43649" w:rsidRDefault="000D67D2" w:rsidP="000D67D2">
      <w:pPr>
        <w:rPr>
          <w:b/>
          <w:color w:val="000000"/>
        </w:rPr>
      </w:pPr>
    </w:p>
    <w:p w14:paraId="1385815A" w14:textId="77777777" w:rsidR="000D67D2" w:rsidRPr="00C43649" w:rsidRDefault="000D67D2" w:rsidP="000D67D2">
      <w:pPr>
        <w:numPr>
          <w:ilvl w:val="0"/>
          <w:numId w:val="5"/>
        </w:numPr>
        <w:rPr>
          <w:b/>
          <w:sz w:val="28"/>
          <w:szCs w:val="28"/>
        </w:rPr>
      </w:pPr>
      <w:r w:rsidRPr="00C43649">
        <w:rPr>
          <w:b/>
          <w:sz w:val="28"/>
          <w:szCs w:val="28"/>
        </w:rPr>
        <w:t>Student learning outcomes/g</w:t>
      </w:r>
      <w:bookmarkStart w:id="1" w:name="OLE_LINK1"/>
      <w:bookmarkStart w:id="2" w:name="OLE_LINK2"/>
      <w:r w:rsidRPr="00C43649">
        <w:rPr>
          <w:b/>
          <w:sz w:val="28"/>
          <w:szCs w:val="28"/>
        </w:rPr>
        <w:t xml:space="preserve">oals: [List </w:t>
      </w:r>
      <w:r w:rsidRPr="00C43649">
        <w:rPr>
          <w:b/>
          <w:sz w:val="28"/>
          <w:szCs w:val="28"/>
          <w:u w:val="single"/>
        </w:rPr>
        <w:t>ALL</w:t>
      </w:r>
      <w:r w:rsidRPr="00C43649">
        <w:rPr>
          <w:b/>
          <w:sz w:val="28"/>
          <w:szCs w:val="28"/>
        </w:rPr>
        <w:t xml:space="preserve"> major learning outcomes/goals]</w:t>
      </w:r>
    </w:p>
    <w:p w14:paraId="03C005D5" w14:textId="77777777" w:rsidR="000D67D2" w:rsidRPr="00C43649" w:rsidRDefault="000D67D2" w:rsidP="000D67D2">
      <w:pPr>
        <w:rPr>
          <w:b/>
        </w:rPr>
      </w:pPr>
    </w:p>
    <w:p w14:paraId="78AC6F54" w14:textId="6DE1BA71" w:rsidR="000D67D2" w:rsidRPr="00C43649" w:rsidRDefault="000D67D2" w:rsidP="00FC6C67">
      <w:pPr>
        <w:ind w:left="1080" w:firstLine="360"/>
        <w:rPr>
          <w:b/>
          <w:color w:val="000000"/>
        </w:rPr>
      </w:pPr>
      <w:r w:rsidRPr="00C43649">
        <w:rPr>
          <w:b/>
          <w:color w:val="000000"/>
        </w:rPr>
        <w:t>1.</w:t>
      </w:r>
      <w:r w:rsidR="00FC6C67">
        <w:rPr>
          <w:b/>
          <w:color w:val="000000"/>
        </w:rPr>
        <w:t xml:space="preserve">  </w:t>
      </w:r>
      <w:r w:rsidR="00FC6C67" w:rsidRPr="00D303C7">
        <w:rPr>
          <w:b/>
          <w:color w:val="000000"/>
          <w:highlight w:val="yellow"/>
        </w:rPr>
        <w:t>Students will be able to write a clear and compelling argumentative essay on a philosophical topic</w:t>
      </w:r>
      <w:r w:rsidR="00FC6C67">
        <w:rPr>
          <w:b/>
          <w:color w:val="000000"/>
          <w:highlight w:val="yellow"/>
        </w:rPr>
        <w:t>, such as whether virtue can be taught</w:t>
      </w:r>
      <w:r w:rsidR="00FC6C67" w:rsidRPr="00D303C7">
        <w:rPr>
          <w:b/>
          <w:color w:val="000000"/>
          <w:highlight w:val="yellow"/>
        </w:rPr>
        <w:t>.</w:t>
      </w:r>
    </w:p>
    <w:p w14:paraId="0A37D724" w14:textId="52F092C6" w:rsidR="000D67D2" w:rsidRPr="00C43649" w:rsidRDefault="000D67D2" w:rsidP="000D67D2">
      <w:pPr>
        <w:ind w:left="1080" w:firstLine="360"/>
        <w:rPr>
          <w:b/>
          <w:color w:val="000000"/>
        </w:rPr>
      </w:pPr>
      <w:r w:rsidRPr="00C43649">
        <w:rPr>
          <w:b/>
          <w:color w:val="000000"/>
        </w:rPr>
        <w:t xml:space="preserve">2. </w:t>
      </w:r>
      <w:r w:rsidR="00FC6C67">
        <w:rPr>
          <w:b/>
          <w:color w:val="000000"/>
        </w:rPr>
        <w:t xml:space="preserve">  </w:t>
      </w:r>
      <w:r w:rsidR="00FC6C67" w:rsidRPr="00D303C7">
        <w:rPr>
          <w:b/>
          <w:color w:val="000000"/>
          <w:highlight w:val="yellow"/>
        </w:rPr>
        <w:t>Students will be able to identify, analyze, evaluate and construct arguments.</w:t>
      </w:r>
    </w:p>
    <w:p w14:paraId="1B4529AA" w14:textId="507E1260" w:rsidR="000D67D2" w:rsidRPr="00C43649" w:rsidRDefault="000D67D2" w:rsidP="000D67D2">
      <w:pPr>
        <w:ind w:left="1080" w:firstLine="360"/>
        <w:rPr>
          <w:b/>
          <w:color w:val="000000"/>
        </w:rPr>
      </w:pPr>
      <w:r w:rsidRPr="00C43649">
        <w:rPr>
          <w:b/>
          <w:color w:val="000000"/>
        </w:rPr>
        <w:t xml:space="preserve">3. </w:t>
      </w:r>
      <w:r w:rsidR="00FC6C67">
        <w:rPr>
          <w:b/>
          <w:color w:val="000000"/>
        </w:rPr>
        <w:t xml:space="preserve">  </w:t>
      </w:r>
      <w:r w:rsidR="00FC6C67" w:rsidRPr="00D303C7">
        <w:rPr>
          <w:b/>
          <w:color w:val="000000"/>
          <w:highlight w:val="yellow"/>
        </w:rPr>
        <w:t>Students will demonstrate knowledge of the philosophical works of key canonical figures, for example, Plato, Aristotle, Descartes, Hume or Kant.</w:t>
      </w:r>
    </w:p>
    <w:p w14:paraId="475C3154" w14:textId="77777777" w:rsidR="000D67D2" w:rsidRPr="00C43649" w:rsidRDefault="000D67D2" w:rsidP="000D67D2">
      <w:pPr>
        <w:ind w:left="1080"/>
        <w:rPr>
          <w:b/>
          <w:color w:val="000000"/>
        </w:rPr>
      </w:pPr>
    </w:p>
    <w:p w14:paraId="36DD43CD" w14:textId="10D4603E" w:rsidR="000D67D2" w:rsidRDefault="000D67D2" w:rsidP="000D67D2">
      <w:pPr>
        <w:numPr>
          <w:ilvl w:val="0"/>
          <w:numId w:val="5"/>
        </w:numPr>
        <w:rPr>
          <w:b/>
          <w:color w:val="000000"/>
        </w:rPr>
      </w:pPr>
      <w:r w:rsidRPr="00C43649">
        <w:rPr>
          <w:b/>
          <w:color w:val="000000"/>
        </w:rPr>
        <w:t xml:space="preserve">Assessment activities </w:t>
      </w:r>
      <w:r w:rsidRPr="00C43649">
        <w:rPr>
          <w:b/>
          <w:color w:val="000000"/>
          <w:u w:val="single"/>
        </w:rPr>
        <w:t>completed</w:t>
      </w:r>
      <w:r w:rsidRPr="0014746A">
        <w:rPr>
          <w:b/>
          <w:color w:val="000000"/>
        </w:rPr>
        <w:t xml:space="preserve"> in the recent academic year </w:t>
      </w:r>
      <w:r w:rsidRPr="0014746A">
        <w:rPr>
          <w:b/>
          <w:color w:val="000000"/>
          <w:u w:val="single"/>
        </w:rPr>
        <w:t>201</w:t>
      </w:r>
      <w:r w:rsidR="00841B13">
        <w:rPr>
          <w:b/>
          <w:color w:val="000000"/>
          <w:u w:val="single"/>
        </w:rPr>
        <w:t>4</w:t>
      </w:r>
      <w:r w:rsidRPr="0014746A">
        <w:rPr>
          <w:b/>
          <w:color w:val="000000"/>
          <w:u w:val="single"/>
        </w:rPr>
        <w:t>-</w:t>
      </w:r>
      <w:r>
        <w:rPr>
          <w:b/>
          <w:color w:val="000000"/>
          <w:u w:val="single"/>
        </w:rPr>
        <w:t>20</w:t>
      </w:r>
      <w:r w:rsidRPr="0014746A">
        <w:rPr>
          <w:b/>
          <w:color w:val="000000"/>
          <w:u w:val="single"/>
        </w:rPr>
        <w:t>1</w:t>
      </w:r>
      <w:r w:rsidR="00841B13">
        <w:rPr>
          <w:b/>
          <w:color w:val="000000"/>
          <w:u w:val="single"/>
        </w:rPr>
        <w:t>5</w:t>
      </w:r>
    </w:p>
    <w:p w14:paraId="617ED29B" w14:textId="77777777" w:rsidR="000D67D2" w:rsidRPr="00C43649" w:rsidRDefault="000D67D2" w:rsidP="000D67D2">
      <w:pPr>
        <w:ind w:left="1080"/>
        <w:rPr>
          <w:b/>
          <w:color w:val="000000"/>
        </w:rPr>
      </w:pPr>
    </w:p>
    <w:p w14:paraId="321277D1" w14:textId="5F67E6A1" w:rsidR="000D67D2" w:rsidRPr="000D67D2" w:rsidRDefault="000D67D2" w:rsidP="000D67D2">
      <w:pPr>
        <w:numPr>
          <w:ilvl w:val="1"/>
          <w:numId w:val="5"/>
        </w:numPr>
        <w:rPr>
          <w:b/>
          <w:color w:val="000000"/>
        </w:rPr>
      </w:pPr>
      <w:r w:rsidRPr="00C43649">
        <w:rPr>
          <w:b/>
          <w:color w:val="000000"/>
        </w:rPr>
        <w:t xml:space="preserve">Report student learning outcomes/goals assessed in academic year </w:t>
      </w:r>
      <w:r w:rsidRPr="00C43649">
        <w:rPr>
          <w:b/>
          <w:color w:val="000000"/>
          <w:u w:val="single"/>
        </w:rPr>
        <w:t>201</w:t>
      </w:r>
      <w:r w:rsidR="00841B13">
        <w:rPr>
          <w:b/>
          <w:color w:val="000000"/>
          <w:u w:val="single"/>
        </w:rPr>
        <w:t>4</w:t>
      </w:r>
      <w:r w:rsidRPr="00C43649">
        <w:rPr>
          <w:b/>
          <w:color w:val="000000"/>
          <w:u w:val="single"/>
        </w:rPr>
        <w:t>-201</w:t>
      </w:r>
      <w:r w:rsidR="00841B13">
        <w:rPr>
          <w:b/>
          <w:color w:val="000000"/>
          <w:u w:val="single"/>
        </w:rPr>
        <w:t>5</w:t>
      </w:r>
      <w:r w:rsidRPr="00C43649">
        <w:rPr>
          <w:b/>
          <w:color w:val="000000"/>
        </w:rPr>
        <w:t>:</w:t>
      </w:r>
    </w:p>
    <w:p w14:paraId="098B5CBA" w14:textId="77777777" w:rsidR="000D67D2" w:rsidRPr="00C43649" w:rsidRDefault="000D67D2" w:rsidP="000D67D2">
      <w:pPr>
        <w:rPr>
          <w:b/>
          <w:color w:val="000000"/>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8"/>
        <w:gridCol w:w="722"/>
        <w:gridCol w:w="5250"/>
      </w:tblGrid>
      <w:tr w:rsidR="000D67D2" w:rsidRPr="00C43649" w14:paraId="23CB5545" w14:textId="77777777" w:rsidTr="005B6E24">
        <w:trPr>
          <w:trHeight w:val="333"/>
        </w:trPr>
        <w:tc>
          <w:tcPr>
            <w:tcW w:w="4348" w:type="dxa"/>
            <w:shd w:val="clear" w:color="auto" w:fill="auto"/>
          </w:tcPr>
          <w:p w14:paraId="42711034" w14:textId="77777777" w:rsidR="000D67D2" w:rsidRPr="00C43649" w:rsidRDefault="000D67D2" w:rsidP="005B6E24">
            <w:pPr>
              <w:jc w:val="center"/>
              <w:rPr>
                <w:b/>
                <w:color w:val="000000"/>
              </w:rPr>
            </w:pPr>
            <w:r w:rsidRPr="00C43649">
              <w:rPr>
                <w:b/>
                <w:color w:val="000000"/>
              </w:rPr>
              <w:t>Measure</w:t>
            </w:r>
          </w:p>
        </w:tc>
        <w:tc>
          <w:tcPr>
            <w:tcW w:w="722" w:type="dxa"/>
            <w:shd w:val="clear" w:color="auto" w:fill="auto"/>
          </w:tcPr>
          <w:p w14:paraId="0687836B" w14:textId="77777777" w:rsidR="000D67D2" w:rsidRPr="00C43649" w:rsidRDefault="000D67D2" w:rsidP="005B6E24">
            <w:pPr>
              <w:jc w:val="center"/>
              <w:rPr>
                <w:b/>
                <w:color w:val="000000"/>
              </w:rPr>
            </w:pPr>
            <w:r w:rsidRPr="00C43649">
              <w:rPr>
                <w:b/>
                <w:color w:val="000000"/>
              </w:rPr>
              <w:t>Goal</w:t>
            </w:r>
          </w:p>
        </w:tc>
        <w:tc>
          <w:tcPr>
            <w:tcW w:w="5250" w:type="dxa"/>
            <w:shd w:val="clear" w:color="auto" w:fill="auto"/>
          </w:tcPr>
          <w:p w14:paraId="17C96243" w14:textId="77777777" w:rsidR="000D67D2" w:rsidRPr="00C43649" w:rsidRDefault="000D67D2" w:rsidP="005B6E24">
            <w:pPr>
              <w:jc w:val="center"/>
              <w:rPr>
                <w:b/>
                <w:color w:val="000000"/>
              </w:rPr>
            </w:pPr>
            <w:r>
              <w:rPr>
                <w:b/>
                <w:color w:val="000000"/>
              </w:rPr>
              <w:t>Results and Interpretations</w:t>
            </w:r>
          </w:p>
        </w:tc>
      </w:tr>
      <w:tr w:rsidR="000D67D2" w:rsidRPr="00C43649" w14:paraId="42EF7CC8" w14:textId="77777777" w:rsidTr="005B6E24">
        <w:trPr>
          <w:trHeight w:val="489"/>
        </w:trPr>
        <w:tc>
          <w:tcPr>
            <w:tcW w:w="4348" w:type="dxa"/>
            <w:shd w:val="clear" w:color="auto" w:fill="auto"/>
          </w:tcPr>
          <w:p w14:paraId="4A9302FF" w14:textId="7452FDDA" w:rsidR="000D67D2" w:rsidRPr="00C43649" w:rsidRDefault="00FC6C67" w:rsidP="00FC6C67">
            <w:pPr>
              <w:rPr>
                <w:b/>
                <w:color w:val="000000"/>
              </w:rPr>
            </w:pPr>
            <w:r w:rsidRPr="00D303C7">
              <w:rPr>
                <w:b/>
                <w:color w:val="000000"/>
                <w:highlight w:val="yellow"/>
              </w:rPr>
              <w:t>Students in the Capstone course completed an in-class test on logic and critical thinking, designed to test them on their abilities to identify, analyze, evaluate and construct arguments.</w:t>
            </w:r>
          </w:p>
        </w:tc>
        <w:tc>
          <w:tcPr>
            <w:tcW w:w="722" w:type="dxa"/>
            <w:shd w:val="clear" w:color="auto" w:fill="auto"/>
          </w:tcPr>
          <w:p w14:paraId="04E6BCB1" w14:textId="661AB342" w:rsidR="000D67D2" w:rsidRPr="00C43649" w:rsidRDefault="00FC6C67" w:rsidP="005B6E24">
            <w:pPr>
              <w:jc w:val="center"/>
              <w:rPr>
                <w:b/>
                <w:color w:val="000000"/>
              </w:rPr>
            </w:pPr>
            <w:r w:rsidRPr="00D303C7">
              <w:rPr>
                <w:b/>
                <w:color w:val="000000"/>
                <w:highlight w:val="yellow"/>
              </w:rPr>
              <w:t>2</w:t>
            </w:r>
          </w:p>
        </w:tc>
        <w:tc>
          <w:tcPr>
            <w:tcW w:w="5250" w:type="dxa"/>
            <w:shd w:val="clear" w:color="auto" w:fill="auto"/>
          </w:tcPr>
          <w:p w14:paraId="30BE80F5" w14:textId="77777777" w:rsidR="00FC6C67" w:rsidRPr="00D303C7" w:rsidRDefault="00FC6C67" w:rsidP="00FC6C67">
            <w:pPr>
              <w:rPr>
                <w:b/>
                <w:color w:val="000000"/>
                <w:highlight w:val="yellow"/>
              </w:rPr>
            </w:pPr>
            <w:r w:rsidRPr="00D303C7">
              <w:rPr>
                <w:b/>
                <w:color w:val="000000"/>
                <w:highlight w:val="yellow"/>
              </w:rPr>
              <w:t>Students were very strong in evaluating arguments (40 % exceeded expectations; 50 % met expectations; 10 % failed to meet expectations); students faced challenges analyzing arguments (20 % exceeded expectations; 40 % met expectations; 30 % approached expectations; 10 % failed to meet expectations).</w:t>
            </w:r>
          </w:p>
          <w:p w14:paraId="22E193CA" w14:textId="1765F3EC" w:rsidR="000D67D2" w:rsidRPr="00C43649" w:rsidRDefault="00FC6C67" w:rsidP="00FC6C67">
            <w:pPr>
              <w:rPr>
                <w:b/>
                <w:color w:val="000000"/>
              </w:rPr>
            </w:pPr>
            <w:r w:rsidRPr="00D303C7">
              <w:rPr>
                <w:b/>
                <w:color w:val="000000"/>
                <w:highlight w:val="yellow"/>
              </w:rPr>
              <w:t>It appears that students lacked the relevant technical vocabulary to analyze arguments effectively.</w:t>
            </w:r>
          </w:p>
        </w:tc>
      </w:tr>
      <w:tr w:rsidR="000D67D2" w:rsidRPr="00C43649" w14:paraId="1D5AB19D" w14:textId="77777777" w:rsidTr="005B6E24">
        <w:trPr>
          <w:trHeight w:val="489"/>
        </w:trPr>
        <w:tc>
          <w:tcPr>
            <w:tcW w:w="4348" w:type="dxa"/>
            <w:shd w:val="clear" w:color="auto" w:fill="auto"/>
          </w:tcPr>
          <w:p w14:paraId="7892DAAC" w14:textId="114B618E" w:rsidR="000D67D2" w:rsidRPr="00C43649" w:rsidRDefault="00FC6C67" w:rsidP="00FC6C67">
            <w:pPr>
              <w:rPr>
                <w:b/>
                <w:color w:val="000000"/>
              </w:rPr>
            </w:pPr>
            <w:r w:rsidRPr="00D303C7">
              <w:rPr>
                <w:b/>
                <w:color w:val="000000"/>
                <w:highlight w:val="yellow"/>
              </w:rPr>
              <w:t>In the Capstone course students had to write an argumentative paper addressing a contemporary philosophical article with which they disagree.  The papers were scored with a rubric developed by the department.</w:t>
            </w:r>
          </w:p>
        </w:tc>
        <w:tc>
          <w:tcPr>
            <w:tcW w:w="722" w:type="dxa"/>
            <w:shd w:val="clear" w:color="auto" w:fill="auto"/>
          </w:tcPr>
          <w:p w14:paraId="1ADF7ACF" w14:textId="77777777" w:rsidR="00FC6C67" w:rsidRPr="00D303C7" w:rsidRDefault="00FC6C67" w:rsidP="00FC6C67">
            <w:pPr>
              <w:jc w:val="center"/>
              <w:rPr>
                <w:b/>
                <w:color w:val="000000"/>
                <w:highlight w:val="yellow"/>
              </w:rPr>
            </w:pPr>
            <w:r w:rsidRPr="00D303C7">
              <w:rPr>
                <w:b/>
                <w:color w:val="000000"/>
                <w:highlight w:val="yellow"/>
              </w:rPr>
              <w:t>1</w:t>
            </w:r>
          </w:p>
          <w:p w14:paraId="34DBE668" w14:textId="0A771E4F" w:rsidR="000D67D2" w:rsidRPr="00C43649" w:rsidRDefault="00FC6C67" w:rsidP="00FC6C67">
            <w:pPr>
              <w:jc w:val="center"/>
              <w:rPr>
                <w:b/>
                <w:color w:val="000000"/>
              </w:rPr>
            </w:pPr>
            <w:r w:rsidRPr="00D303C7">
              <w:rPr>
                <w:b/>
                <w:color w:val="000000"/>
                <w:highlight w:val="yellow"/>
              </w:rPr>
              <w:t>2</w:t>
            </w:r>
          </w:p>
        </w:tc>
        <w:tc>
          <w:tcPr>
            <w:tcW w:w="5250" w:type="dxa"/>
            <w:shd w:val="clear" w:color="auto" w:fill="auto"/>
          </w:tcPr>
          <w:p w14:paraId="7322E93D" w14:textId="5388AE1A" w:rsidR="000D67D2" w:rsidRPr="00C43649" w:rsidRDefault="00FC6C67" w:rsidP="00FC6C67">
            <w:pPr>
              <w:rPr>
                <w:b/>
                <w:color w:val="000000"/>
              </w:rPr>
            </w:pPr>
            <w:r w:rsidRPr="00D303C7">
              <w:rPr>
                <w:b/>
                <w:color w:val="000000"/>
                <w:highlight w:val="yellow"/>
              </w:rPr>
              <w:t>Students generally did well in organizing their paper (40 % exceeding expectations; 40 % meeting expectations; 20 % approaching expectations).  Students faced significant challenges in developing a compelling argument in their essays (20 % exceeding expectations; 40 % meeting expectations; 40 % approaching expectation).  It appears that many students are not able to identify the sorts of evidence that would support their thesis effectively.</w:t>
            </w:r>
          </w:p>
        </w:tc>
      </w:tr>
      <w:tr w:rsidR="000D67D2" w:rsidRPr="00C43649" w14:paraId="02050F10" w14:textId="77777777" w:rsidTr="005B6E24">
        <w:trPr>
          <w:trHeight w:val="489"/>
        </w:trPr>
        <w:tc>
          <w:tcPr>
            <w:tcW w:w="4348" w:type="dxa"/>
            <w:shd w:val="clear" w:color="auto" w:fill="auto"/>
          </w:tcPr>
          <w:p w14:paraId="3B5C8F9B" w14:textId="77777777" w:rsidR="000D67D2" w:rsidRPr="00C43649" w:rsidRDefault="000D67D2" w:rsidP="005B6E24">
            <w:pPr>
              <w:jc w:val="center"/>
              <w:rPr>
                <w:b/>
                <w:color w:val="000000"/>
              </w:rPr>
            </w:pPr>
          </w:p>
        </w:tc>
        <w:tc>
          <w:tcPr>
            <w:tcW w:w="722" w:type="dxa"/>
            <w:shd w:val="clear" w:color="auto" w:fill="auto"/>
          </w:tcPr>
          <w:p w14:paraId="68FDF04B" w14:textId="77777777" w:rsidR="000D67D2" w:rsidRPr="00C43649" w:rsidRDefault="000D67D2" w:rsidP="005B6E24">
            <w:pPr>
              <w:jc w:val="center"/>
              <w:rPr>
                <w:b/>
                <w:color w:val="000000"/>
              </w:rPr>
            </w:pPr>
          </w:p>
        </w:tc>
        <w:tc>
          <w:tcPr>
            <w:tcW w:w="5250" w:type="dxa"/>
            <w:shd w:val="clear" w:color="auto" w:fill="auto"/>
          </w:tcPr>
          <w:p w14:paraId="70F855EB" w14:textId="77777777" w:rsidR="000D67D2" w:rsidRPr="00C43649" w:rsidRDefault="000D67D2" w:rsidP="005B6E24">
            <w:pPr>
              <w:jc w:val="center"/>
              <w:rPr>
                <w:b/>
                <w:color w:val="000000"/>
              </w:rPr>
            </w:pPr>
          </w:p>
        </w:tc>
      </w:tr>
      <w:tr w:rsidR="000D67D2" w:rsidRPr="00C43649" w14:paraId="30E82425" w14:textId="77777777" w:rsidTr="005B6E24">
        <w:trPr>
          <w:trHeight w:val="489"/>
        </w:trPr>
        <w:tc>
          <w:tcPr>
            <w:tcW w:w="4348" w:type="dxa"/>
            <w:shd w:val="clear" w:color="auto" w:fill="auto"/>
          </w:tcPr>
          <w:p w14:paraId="171F8180" w14:textId="77777777" w:rsidR="000D67D2" w:rsidRPr="00C43649" w:rsidRDefault="000D67D2" w:rsidP="005B6E24">
            <w:pPr>
              <w:jc w:val="center"/>
              <w:rPr>
                <w:b/>
                <w:color w:val="000000"/>
              </w:rPr>
            </w:pPr>
          </w:p>
        </w:tc>
        <w:tc>
          <w:tcPr>
            <w:tcW w:w="722" w:type="dxa"/>
            <w:shd w:val="clear" w:color="auto" w:fill="auto"/>
          </w:tcPr>
          <w:p w14:paraId="2EB7D72E" w14:textId="77777777" w:rsidR="000D67D2" w:rsidRPr="00C43649" w:rsidRDefault="000D67D2" w:rsidP="005B6E24">
            <w:pPr>
              <w:jc w:val="center"/>
              <w:rPr>
                <w:b/>
                <w:color w:val="000000"/>
              </w:rPr>
            </w:pPr>
          </w:p>
        </w:tc>
        <w:tc>
          <w:tcPr>
            <w:tcW w:w="5250" w:type="dxa"/>
            <w:shd w:val="clear" w:color="auto" w:fill="auto"/>
          </w:tcPr>
          <w:p w14:paraId="5DC6DBB9" w14:textId="77777777" w:rsidR="000D67D2" w:rsidRPr="00C43649" w:rsidRDefault="000D67D2" w:rsidP="005B6E24">
            <w:pPr>
              <w:jc w:val="center"/>
              <w:rPr>
                <w:b/>
                <w:color w:val="000000"/>
              </w:rPr>
            </w:pPr>
          </w:p>
        </w:tc>
      </w:tr>
    </w:tbl>
    <w:p w14:paraId="54BF7469" w14:textId="77777777" w:rsidR="000D67D2" w:rsidRPr="00C43649" w:rsidRDefault="000D67D2" w:rsidP="000D67D2">
      <w:pPr>
        <w:rPr>
          <w:b/>
          <w:color w:val="000000"/>
        </w:rPr>
      </w:pPr>
    </w:p>
    <w:p w14:paraId="4FE1B93C" w14:textId="77777777" w:rsidR="000D67D2" w:rsidRPr="00C43649" w:rsidRDefault="000D67D2" w:rsidP="000D67D2">
      <w:pPr>
        <w:numPr>
          <w:ilvl w:val="1"/>
          <w:numId w:val="5"/>
        </w:numPr>
        <w:rPr>
          <w:b/>
          <w:color w:val="000000"/>
        </w:rPr>
      </w:pPr>
      <w:r w:rsidRPr="00C43649">
        <w:rPr>
          <w:b/>
          <w:color w:val="000000"/>
        </w:rPr>
        <w:t xml:space="preserve">Report </w:t>
      </w:r>
      <w:r w:rsidRPr="00C43649">
        <w:rPr>
          <w:b/>
          <w:color w:val="000000"/>
          <w:u w:val="single"/>
        </w:rPr>
        <w:t>ALL</w:t>
      </w:r>
      <w:r w:rsidRPr="00C43649">
        <w:rPr>
          <w:b/>
          <w:color w:val="000000"/>
        </w:rPr>
        <w:t xml:space="preserve"> changes implemented or proposed based on assessment data gathered:</w:t>
      </w:r>
    </w:p>
    <w:p w14:paraId="218C0B84" w14:textId="0C22A242" w:rsidR="000D67D2" w:rsidRPr="00C43649" w:rsidRDefault="000D67D2" w:rsidP="00FC6C67">
      <w:pPr>
        <w:ind w:left="1440"/>
        <w:rPr>
          <w:b/>
          <w:color w:val="000000"/>
        </w:rPr>
      </w:pPr>
      <w:r w:rsidRPr="00C43649">
        <w:rPr>
          <w:b/>
          <w:color w:val="000000"/>
        </w:rPr>
        <w:t>1.</w:t>
      </w:r>
      <w:r w:rsidR="00FC6C67">
        <w:rPr>
          <w:b/>
          <w:color w:val="000000"/>
        </w:rPr>
        <w:t xml:space="preserve">  </w:t>
      </w:r>
      <w:r w:rsidR="00FC6C67" w:rsidRPr="00D303C7">
        <w:rPr>
          <w:b/>
          <w:color w:val="000000"/>
          <w:highlight w:val="yellow"/>
        </w:rPr>
        <w:t xml:space="preserve">At our annual assessment retreat we encouraged all faculty members to review the key logical concepts in their courses.  We also encouraged them to </w:t>
      </w:r>
      <w:r w:rsidR="00FC6C67" w:rsidRPr="00D303C7">
        <w:rPr>
          <w:b/>
          <w:color w:val="000000"/>
          <w:highlight w:val="yellow"/>
        </w:rPr>
        <w:lastRenderedPageBreak/>
        <w:t>designed small assignments that require students to use these concepts to analyze the arguments discussed in their classes.</w:t>
      </w:r>
    </w:p>
    <w:p w14:paraId="14A27CD4" w14:textId="338A1F17" w:rsidR="000D67D2" w:rsidRPr="00C43649" w:rsidRDefault="000D67D2" w:rsidP="00FC6C67">
      <w:pPr>
        <w:ind w:left="1440"/>
        <w:rPr>
          <w:b/>
          <w:color w:val="000000"/>
        </w:rPr>
      </w:pPr>
      <w:r w:rsidRPr="00C43649">
        <w:rPr>
          <w:b/>
          <w:color w:val="000000"/>
        </w:rPr>
        <w:t>2.</w:t>
      </w:r>
      <w:r w:rsidR="00FC6C67">
        <w:rPr>
          <w:b/>
          <w:color w:val="000000"/>
        </w:rPr>
        <w:t xml:space="preserve">  </w:t>
      </w:r>
      <w:r w:rsidR="00FC6C67" w:rsidRPr="00D35D88">
        <w:rPr>
          <w:b/>
          <w:color w:val="000000"/>
          <w:highlight w:val="yellow"/>
        </w:rPr>
        <w:t>Two faculty members have volunteered to pilot a process of scaffolding writing assignments, breaking the essay writing down into a series of discrete tasks, to determine if such a practice leads to marked improvements in students’ abilities to write argumentative papers.</w:t>
      </w:r>
    </w:p>
    <w:p w14:paraId="389B9B7F" w14:textId="77777777" w:rsidR="000D67D2" w:rsidRPr="00C43649" w:rsidRDefault="000D67D2" w:rsidP="000D67D2">
      <w:pPr>
        <w:ind w:left="1440"/>
        <w:rPr>
          <w:b/>
          <w:color w:val="000000"/>
        </w:rPr>
      </w:pPr>
      <w:r w:rsidRPr="00C43649">
        <w:rPr>
          <w:b/>
          <w:color w:val="000000"/>
        </w:rPr>
        <w:t>3.</w:t>
      </w:r>
    </w:p>
    <w:p w14:paraId="44A91FBE" w14:textId="77777777" w:rsidR="000D67D2" w:rsidRPr="00C43649" w:rsidRDefault="000D67D2" w:rsidP="000D67D2">
      <w:pPr>
        <w:ind w:left="1440"/>
        <w:rPr>
          <w:b/>
          <w:color w:val="000000"/>
        </w:rPr>
      </w:pPr>
    </w:p>
    <w:p w14:paraId="2733963D" w14:textId="77777777" w:rsidR="000D67D2" w:rsidRPr="00C43649" w:rsidRDefault="000D67D2" w:rsidP="000D67D2">
      <w:pPr>
        <w:numPr>
          <w:ilvl w:val="1"/>
          <w:numId w:val="5"/>
        </w:numPr>
        <w:rPr>
          <w:b/>
          <w:color w:val="000000"/>
        </w:rPr>
      </w:pPr>
      <w:r w:rsidRPr="00C43649">
        <w:rPr>
          <w:b/>
          <w:color w:val="000000"/>
        </w:rPr>
        <w:t>Required resources to implement the above changes:</w:t>
      </w:r>
    </w:p>
    <w:p w14:paraId="01177051" w14:textId="45424A73" w:rsidR="000D67D2" w:rsidRPr="00C43649" w:rsidRDefault="000D67D2" w:rsidP="000D67D2">
      <w:pPr>
        <w:ind w:left="1440"/>
        <w:rPr>
          <w:b/>
          <w:color w:val="000000"/>
        </w:rPr>
      </w:pPr>
      <w:r w:rsidRPr="00C43649">
        <w:rPr>
          <w:b/>
          <w:color w:val="000000"/>
        </w:rPr>
        <w:t>1.</w:t>
      </w:r>
      <w:r w:rsidR="00FC6C67">
        <w:rPr>
          <w:b/>
          <w:color w:val="000000"/>
        </w:rPr>
        <w:t xml:space="preserve">  </w:t>
      </w:r>
      <w:r w:rsidR="00FC6C67" w:rsidRPr="00D35D88">
        <w:rPr>
          <w:b/>
          <w:color w:val="000000"/>
          <w:highlight w:val="yellow"/>
        </w:rPr>
        <w:t>The faculty members piloting the scaffolding project will attend a conference on writing in the disciplines sponsored by SUNY Central Administration.  We need to get funding to support t</w:t>
      </w:r>
      <w:r w:rsidR="00FC6C67">
        <w:rPr>
          <w:b/>
          <w:color w:val="000000"/>
          <w:highlight w:val="yellow"/>
        </w:rPr>
        <w:t>heir travel to Buffalo and expe</w:t>
      </w:r>
      <w:r w:rsidR="00FC6C67" w:rsidRPr="00D35D88">
        <w:rPr>
          <w:b/>
          <w:color w:val="000000"/>
          <w:highlight w:val="yellow"/>
        </w:rPr>
        <w:t>nses for the two-day conference.</w:t>
      </w:r>
    </w:p>
    <w:p w14:paraId="7B3C71D8" w14:textId="77777777" w:rsidR="000D67D2" w:rsidRPr="00C43649" w:rsidRDefault="000D67D2" w:rsidP="000D67D2">
      <w:pPr>
        <w:ind w:left="1440"/>
        <w:rPr>
          <w:b/>
          <w:color w:val="000000"/>
        </w:rPr>
      </w:pPr>
      <w:r w:rsidRPr="00C43649">
        <w:rPr>
          <w:b/>
          <w:color w:val="000000"/>
        </w:rPr>
        <w:t>2.</w:t>
      </w:r>
    </w:p>
    <w:p w14:paraId="58E861EE" w14:textId="77777777" w:rsidR="000D67D2" w:rsidRDefault="000D67D2" w:rsidP="000D67D2">
      <w:pPr>
        <w:ind w:left="1440"/>
        <w:rPr>
          <w:b/>
          <w:color w:val="000000"/>
        </w:rPr>
      </w:pPr>
      <w:r w:rsidRPr="00C43649">
        <w:rPr>
          <w:b/>
          <w:color w:val="000000"/>
        </w:rPr>
        <w:t>3.</w:t>
      </w:r>
    </w:p>
    <w:p w14:paraId="6601D395" w14:textId="77777777" w:rsidR="000D67D2" w:rsidRDefault="000D67D2" w:rsidP="000D67D2">
      <w:pPr>
        <w:ind w:left="1440"/>
        <w:rPr>
          <w:b/>
          <w:color w:val="000000"/>
        </w:rPr>
      </w:pPr>
    </w:p>
    <w:p w14:paraId="6F1ED916" w14:textId="77777777" w:rsidR="000D67D2" w:rsidRDefault="000D67D2" w:rsidP="000D67D2">
      <w:pPr>
        <w:numPr>
          <w:ilvl w:val="1"/>
          <w:numId w:val="5"/>
        </w:numPr>
        <w:rPr>
          <w:b/>
          <w:color w:val="000000"/>
        </w:rPr>
      </w:pPr>
      <w:r>
        <w:rPr>
          <w:b/>
          <w:color w:val="000000"/>
        </w:rPr>
        <w:t>Recommended changes to the assessment process:</w:t>
      </w:r>
    </w:p>
    <w:p w14:paraId="0D7B18A8" w14:textId="0B043251" w:rsidR="000D67D2" w:rsidRDefault="000D67D2" w:rsidP="000D67D2">
      <w:pPr>
        <w:ind w:left="1440"/>
        <w:rPr>
          <w:b/>
          <w:color w:val="000000"/>
        </w:rPr>
      </w:pPr>
      <w:r>
        <w:rPr>
          <w:b/>
          <w:color w:val="000000"/>
        </w:rPr>
        <w:t>1.</w:t>
      </w:r>
      <w:r w:rsidR="00FC6C67">
        <w:rPr>
          <w:b/>
          <w:color w:val="000000"/>
        </w:rPr>
        <w:t xml:space="preserve">  </w:t>
      </w:r>
      <w:r w:rsidR="00FC6C67" w:rsidRPr="00D35D88">
        <w:rPr>
          <w:b/>
          <w:color w:val="000000"/>
          <w:highlight w:val="yellow"/>
        </w:rPr>
        <w:t xml:space="preserve">We will conduct an assessment of student papers in a sample of lower division classes next year in order to determine if our expectations of </w:t>
      </w:r>
      <w:r w:rsidR="00FC6C67">
        <w:rPr>
          <w:b/>
          <w:color w:val="000000"/>
          <w:highlight w:val="yellow"/>
        </w:rPr>
        <w:t xml:space="preserve">graduating </w:t>
      </w:r>
      <w:r w:rsidR="00FC6C67" w:rsidRPr="00D35D88">
        <w:rPr>
          <w:b/>
          <w:color w:val="000000"/>
          <w:highlight w:val="yellow"/>
        </w:rPr>
        <w:t>students are too high.</w:t>
      </w:r>
    </w:p>
    <w:p w14:paraId="466D9BA7" w14:textId="77777777" w:rsidR="000D67D2" w:rsidRDefault="000D67D2" w:rsidP="000D67D2">
      <w:pPr>
        <w:ind w:left="1440"/>
        <w:rPr>
          <w:b/>
          <w:color w:val="000000"/>
        </w:rPr>
      </w:pPr>
      <w:r>
        <w:rPr>
          <w:b/>
          <w:color w:val="000000"/>
        </w:rPr>
        <w:t>2.</w:t>
      </w:r>
    </w:p>
    <w:p w14:paraId="75F93F77" w14:textId="77777777" w:rsidR="000D67D2" w:rsidRDefault="000D67D2" w:rsidP="000D67D2">
      <w:pPr>
        <w:ind w:left="1440"/>
        <w:rPr>
          <w:b/>
          <w:color w:val="000000"/>
        </w:rPr>
      </w:pPr>
      <w:r>
        <w:rPr>
          <w:b/>
          <w:color w:val="000000"/>
        </w:rPr>
        <w:t>3.</w:t>
      </w:r>
    </w:p>
    <w:p w14:paraId="7604A459" w14:textId="77777777" w:rsidR="000D67D2" w:rsidRDefault="000D67D2" w:rsidP="000D67D2">
      <w:pPr>
        <w:rPr>
          <w:b/>
          <w:color w:val="000000"/>
        </w:rPr>
      </w:pPr>
    </w:p>
    <w:p w14:paraId="2B21EEBB" w14:textId="06D7DCD7" w:rsidR="000D67D2" w:rsidRDefault="000D67D2" w:rsidP="000D67D2">
      <w:pPr>
        <w:numPr>
          <w:ilvl w:val="0"/>
          <w:numId w:val="5"/>
        </w:numPr>
        <w:rPr>
          <w:b/>
          <w:color w:val="000000"/>
        </w:rPr>
      </w:pPr>
      <w:r>
        <w:rPr>
          <w:b/>
          <w:color w:val="000000"/>
        </w:rPr>
        <w:t xml:space="preserve">Assessment activities </w:t>
      </w:r>
      <w:r>
        <w:rPr>
          <w:b/>
          <w:color w:val="000000"/>
          <w:u w:val="single"/>
        </w:rPr>
        <w:t>planned</w:t>
      </w:r>
      <w:r w:rsidRPr="0014746A">
        <w:rPr>
          <w:b/>
          <w:color w:val="000000"/>
        </w:rPr>
        <w:t xml:space="preserve">  </w:t>
      </w:r>
      <w:r>
        <w:rPr>
          <w:b/>
          <w:color w:val="000000"/>
        </w:rPr>
        <w:t>for upcoming academic year 201</w:t>
      </w:r>
      <w:r w:rsidR="00841B13">
        <w:rPr>
          <w:b/>
          <w:color w:val="000000"/>
        </w:rPr>
        <w:t>5</w:t>
      </w:r>
      <w:r>
        <w:rPr>
          <w:b/>
          <w:color w:val="000000"/>
        </w:rPr>
        <w:t>-201</w:t>
      </w:r>
      <w:r w:rsidR="00841B13">
        <w:rPr>
          <w:b/>
          <w:color w:val="000000"/>
        </w:rPr>
        <w:t>6</w:t>
      </w:r>
      <w:r>
        <w:rPr>
          <w:b/>
          <w:color w:val="000000"/>
        </w:rPr>
        <w:t>:</w:t>
      </w:r>
    </w:p>
    <w:p w14:paraId="4FD05446" w14:textId="77777777" w:rsidR="000D67D2" w:rsidRPr="00C43649" w:rsidRDefault="000D67D2" w:rsidP="000D67D2">
      <w:pPr>
        <w:rPr>
          <w:b/>
          <w:color w:val="000000"/>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8"/>
        <w:gridCol w:w="1620"/>
      </w:tblGrid>
      <w:tr w:rsidR="000D67D2" w:rsidRPr="00C43649" w14:paraId="607D5469" w14:textId="77777777" w:rsidTr="005B6E24">
        <w:trPr>
          <w:trHeight w:val="333"/>
        </w:trPr>
        <w:tc>
          <w:tcPr>
            <w:tcW w:w="8658" w:type="dxa"/>
            <w:shd w:val="clear" w:color="auto" w:fill="auto"/>
          </w:tcPr>
          <w:p w14:paraId="063DE131" w14:textId="77777777" w:rsidR="000D67D2" w:rsidRPr="00C43649" w:rsidRDefault="000D67D2" w:rsidP="005B6E24">
            <w:pPr>
              <w:jc w:val="center"/>
              <w:rPr>
                <w:b/>
                <w:color w:val="000000"/>
              </w:rPr>
            </w:pPr>
            <w:r w:rsidRPr="00C43649">
              <w:rPr>
                <w:b/>
                <w:color w:val="000000"/>
              </w:rPr>
              <w:t>Measure</w:t>
            </w:r>
          </w:p>
        </w:tc>
        <w:tc>
          <w:tcPr>
            <w:tcW w:w="1620" w:type="dxa"/>
            <w:shd w:val="clear" w:color="auto" w:fill="auto"/>
          </w:tcPr>
          <w:p w14:paraId="0EF4CD86" w14:textId="77777777" w:rsidR="000D67D2" w:rsidRPr="00C43649" w:rsidRDefault="000D67D2" w:rsidP="005B6E24">
            <w:pPr>
              <w:jc w:val="center"/>
              <w:rPr>
                <w:b/>
                <w:color w:val="000000"/>
              </w:rPr>
            </w:pPr>
            <w:r w:rsidRPr="00C43649">
              <w:rPr>
                <w:b/>
                <w:color w:val="000000"/>
              </w:rPr>
              <w:t>Goal</w:t>
            </w:r>
          </w:p>
        </w:tc>
      </w:tr>
      <w:tr w:rsidR="000D67D2" w:rsidRPr="00C43649" w14:paraId="771B457D" w14:textId="77777777" w:rsidTr="005B6E24">
        <w:trPr>
          <w:trHeight w:val="494"/>
        </w:trPr>
        <w:tc>
          <w:tcPr>
            <w:tcW w:w="8658" w:type="dxa"/>
            <w:shd w:val="clear" w:color="auto" w:fill="auto"/>
          </w:tcPr>
          <w:p w14:paraId="431C2BF7" w14:textId="0C0442BD" w:rsidR="000D67D2" w:rsidRPr="00C43649" w:rsidRDefault="00FC6C67" w:rsidP="00FC6C67">
            <w:pPr>
              <w:rPr>
                <w:b/>
                <w:color w:val="000000"/>
              </w:rPr>
            </w:pPr>
            <w:r w:rsidRPr="00D35D88">
              <w:rPr>
                <w:b/>
                <w:color w:val="000000"/>
                <w:highlight w:val="yellow"/>
              </w:rPr>
              <w:t>We will assess student argumentative essays in both the capstone and in a sample of lower division courses.</w:t>
            </w:r>
          </w:p>
        </w:tc>
        <w:tc>
          <w:tcPr>
            <w:tcW w:w="1620" w:type="dxa"/>
            <w:shd w:val="clear" w:color="auto" w:fill="auto"/>
          </w:tcPr>
          <w:p w14:paraId="05E22622" w14:textId="77777777" w:rsidR="00FC6C67" w:rsidRPr="00D35D88" w:rsidRDefault="00FC6C67" w:rsidP="00FC6C67">
            <w:pPr>
              <w:jc w:val="center"/>
              <w:rPr>
                <w:b/>
                <w:color w:val="000000"/>
                <w:highlight w:val="yellow"/>
              </w:rPr>
            </w:pPr>
            <w:r w:rsidRPr="00D35D88">
              <w:rPr>
                <w:b/>
                <w:color w:val="000000"/>
                <w:highlight w:val="yellow"/>
              </w:rPr>
              <w:t>1</w:t>
            </w:r>
          </w:p>
          <w:p w14:paraId="2ACF8B2F" w14:textId="4FDD88BE" w:rsidR="000D67D2" w:rsidRPr="00C43649" w:rsidRDefault="00FC6C67" w:rsidP="00FC6C67">
            <w:pPr>
              <w:jc w:val="center"/>
              <w:rPr>
                <w:b/>
                <w:color w:val="000000"/>
              </w:rPr>
            </w:pPr>
            <w:r w:rsidRPr="00D35D88">
              <w:rPr>
                <w:b/>
                <w:color w:val="000000"/>
                <w:highlight w:val="yellow"/>
              </w:rPr>
              <w:t>2</w:t>
            </w:r>
          </w:p>
        </w:tc>
      </w:tr>
      <w:tr w:rsidR="000D67D2" w:rsidRPr="00C43649" w14:paraId="269BCCED" w14:textId="77777777" w:rsidTr="005B6E24">
        <w:trPr>
          <w:trHeight w:val="494"/>
        </w:trPr>
        <w:tc>
          <w:tcPr>
            <w:tcW w:w="8658" w:type="dxa"/>
            <w:shd w:val="clear" w:color="auto" w:fill="auto"/>
          </w:tcPr>
          <w:p w14:paraId="6C45CE2F" w14:textId="4F736E83" w:rsidR="000D67D2" w:rsidRPr="00C43649" w:rsidRDefault="00FC6C67" w:rsidP="00FC6C67">
            <w:pPr>
              <w:rPr>
                <w:b/>
                <w:color w:val="000000"/>
              </w:rPr>
            </w:pPr>
            <w:r w:rsidRPr="00D35D88">
              <w:rPr>
                <w:b/>
                <w:color w:val="000000"/>
                <w:highlight w:val="yellow"/>
              </w:rPr>
              <w:t>We will conduct an assessment of students’ knowledge of key early modern philosophers in an upper division history of philosophy seminar.</w:t>
            </w:r>
          </w:p>
        </w:tc>
        <w:tc>
          <w:tcPr>
            <w:tcW w:w="1620" w:type="dxa"/>
            <w:shd w:val="clear" w:color="auto" w:fill="auto"/>
          </w:tcPr>
          <w:p w14:paraId="4D03D1FE" w14:textId="2A317401" w:rsidR="000D67D2" w:rsidRPr="00C43649" w:rsidRDefault="00FC6C67" w:rsidP="005B6E24">
            <w:pPr>
              <w:jc w:val="center"/>
              <w:rPr>
                <w:b/>
                <w:color w:val="000000"/>
              </w:rPr>
            </w:pPr>
            <w:r w:rsidRPr="00D35D88">
              <w:rPr>
                <w:b/>
                <w:color w:val="000000"/>
                <w:highlight w:val="yellow"/>
              </w:rPr>
              <w:t>3</w:t>
            </w:r>
          </w:p>
        </w:tc>
      </w:tr>
      <w:tr w:rsidR="000D67D2" w:rsidRPr="00C43649" w14:paraId="3FA37B97" w14:textId="77777777" w:rsidTr="005B6E24">
        <w:trPr>
          <w:trHeight w:val="494"/>
        </w:trPr>
        <w:tc>
          <w:tcPr>
            <w:tcW w:w="8658" w:type="dxa"/>
            <w:shd w:val="clear" w:color="auto" w:fill="auto"/>
          </w:tcPr>
          <w:p w14:paraId="421156CC" w14:textId="77777777" w:rsidR="000D67D2" w:rsidRPr="00C43649" w:rsidRDefault="000D67D2" w:rsidP="005B6E24">
            <w:pPr>
              <w:jc w:val="center"/>
              <w:rPr>
                <w:b/>
                <w:color w:val="000000"/>
              </w:rPr>
            </w:pPr>
          </w:p>
        </w:tc>
        <w:tc>
          <w:tcPr>
            <w:tcW w:w="1620" w:type="dxa"/>
            <w:shd w:val="clear" w:color="auto" w:fill="auto"/>
          </w:tcPr>
          <w:p w14:paraId="2E3B9A84" w14:textId="77777777" w:rsidR="000D67D2" w:rsidRPr="00C43649" w:rsidRDefault="000D67D2" w:rsidP="005B6E24">
            <w:pPr>
              <w:jc w:val="center"/>
              <w:rPr>
                <w:b/>
                <w:color w:val="000000"/>
              </w:rPr>
            </w:pPr>
          </w:p>
        </w:tc>
      </w:tr>
      <w:bookmarkEnd w:id="1"/>
      <w:bookmarkEnd w:id="2"/>
    </w:tbl>
    <w:p w14:paraId="30555A5D" w14:textId="77777777" w:rsidR="00C4039C" w:rsidRPr="001A0A28" w:rsidRDefault="00C4039C">
      <w:pPr>
        <w:rPr>
          <w:rFonts w:cs="Times New Roman"/>
          <w:sz w:val="20"/>
          <w:szCs w:val="20"/>
        </w:rPr>
      </w:pPr>
    </w:p>
    <w:sectPr w:rsidR="00C4039C" w:rsidRPr="001A0A28" w:rsidSect="000D67D2">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B339D" w14:textId="77777777" w:rsidR="00BB7A74" w:rsidRDefault="00BB7A74" w:rsidP="00C4039C">
      <w:r>
        <w:separator/>
      </w:r>
    </w:p>
  </w:endnote>
  <w:endnote w:type="continuationSeparator" w:id="0">
    <w:p w14:paraId="5E97A964" w14:textId="77777777" w:rsidR="00BB7A74" w:rsidRDefault="00BB7A74" w:rsidP="00C4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2BADD" w14:textId="77777777" w:rsidR="00BB7A74" w:rsidRDefault="00BB7A74" w:rsidP="00C4039C">
      <w:r>
        <w:separator/>
      </w:r>
    </w:p>
  </w:footnote>
  <w:footnote w:type="continuationSeparator" w:id="0">
    <w:p w14:paraId="354FEDDB" w14:textId="77777777" w:rsidR="00BB7A74" w:rsidRDefault="00BB7A74" w:rsidP="00C40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4721B"/>
    <w:multiLevelType w:val="hybridMultilevel"/>
    <w:tmpl w:val="914EEB7A"/>
    <w:lvl w:ilvl="0" w:tplc="30A466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0B046B"/>
    <w:multiLevelType w:val="hybridMultilevel"/>
    <w:tmpl w:val="8F262888"/>
    <w:lvl w:ilvl="0" w:tplc="E52411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03F7B"/>
    <w:multiLevelType w:val="hybridMultilevel"/>
    <w:tmpl w:val="F4980B88"/>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3">
    <w:nsid w:val="4779211B"/>
    <w:multiLevelType w:val="hybridMultilevel"/>
    <w:tmpl w:val="29340F46"/>
    <w:lvl w:ilvl="0" w:tplc="30A4667C">
      <w:start w:val="1"/>
      <w:numFmt w:val="decimal"/>
      <w:lvlText w:val="%1."/>
      <w:lvlJc w:val="left"/>
      <w:pPr>
        <w:ind w:left="720" w:hanging="360"/>
      </w:pPr>
      <w:rPr>
        <w:rFonts w:hint="default"/>
      </w:rPr>
    </w:lvl>
    <w:lvl w:ilvl="1" w:tplc="432A333A">
      <w:start w:val="1"/>
      <w:numFmt w:val="lowerLetter"/>
      <w:lvlText w:val="%2."/>
      <w:lvlJc w:val="left"/>
      <w:pPr>
        <w:ind w:left="1440" w:hanging="360"/>
      </w:pPr>
      <w:rPr>
        <w:rFonts w:ascii="Gill Sans MT" w:hAnsi="Gill Sans M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2151DC"/>
    <w:multiLevelType w:val="hybridMultilevel"/>
    <w:tmpl w:val="7150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52"/>
    <w:rsid w:val="00017E8F"/>
    <w:rsid w:val="0005716F"/>
    <w:rsid w:val="00064264"/>
    <w:rsid w:val="000D67D2"/>
    <w:rsid w:val="000F70CD"/>
    <w:rsid w:val="001A0A28"/>
    <w:rsid w:val="001D6E97"/>
    <w:rsid w:val="00217F6D"/>
    <w:rsid w:val="00275D23"/>
    <w:rsid w:val="00290D92"/>
    <w:rsid w:val="00291A31"/>
    <w:rsid w:val="002C62EA"/>
    <w:rsid w:val="002D1E27"/>
    <w:rsid w:val="003606F9"/>
    <w:rsid w:val="003703CC"/>
    <w:rsid w:val="00383A85"/>
    <w:rsid w:val="003A428A"/>
    <w:rsid w:val="003B1848"/>
    <w:rsid w:val="003B34B3"/>
    <w:rsid w:val="003B4FB1"/>
    <w:rsid w:val="003D71CF"/>
    <w:rsid w:val="003E0CA4"/>
    <w:rsid w:val="00440D6C"/>
    <w:rsid w:val="00496134"/>
    <w:rsid w:val="004F65E7"/>
    <w:rsid w:val="005A5E8F"/>
    <w:rsid w:val="005E272F"/>
    <w:rsid w:val="005F44F4"/>
    <w:rsid w:val="006157C1"/>
    <w:rsid w:val="0062712D"/>
    <w:rsid w:val="0063561B"/>
    <w:rsid w:val="00641C87"/>
    <w:rsid w:val="006628EC"/>
    <w:rsid w:val="006C7EB3"/>
    <w:rsid w:val="007023FB"/>
    <w:rsid w:val="00780F0A"/>
    <w:rsid w:val="007C1C24"/>
    <w:rsid w:val="007C534B"/>
    <w:rsid w:val="007D3F9C"/>
    <w:rsid w:val="007E30CA"/>
    <w:rsid w:val="00830339"/>
    <w:rsid w:val="00841B13"/>
    <w:rsid w:val="008A3A39"/>
    <w:rsid w:val="008D1664"/>
    <w:rsid w:val="008E1E28"/>
    <w:rsid w:val="008E52C2"/>
    <w:rsid w:val="00943986"/>
    <w:rsid w:val="00974AB1"/>
    <w:rsid w:val="009D5FE1"/>
    <w:rsid w:val="00A2313E"/>
    <w:rsid w:val="00A26BDD"/>
    <w:rsid w:val="00A67DC7"/>
    <w:rsid w:val="00AD3163"/>
    <w:rsid w:val="00B571F8"/>
    <w:rsid w:val="00B80352"/>
    <w:rsid w:val="00BB667E"/>
    <w:rsid w:val="00BB7A74"/>
    <w:rsid w:val="00BE73B3"/>
    <w:rsid w:val="00C240CD"/>
    <w:rsid w:val="00C4039C"/>
    <w:rsid w:val="00C4159A"/>
    <w:rsid w:val="00C46529"/>
    <w:rsid w:val="00C70FF7"/>
    <w:rsid w:val="00C7720D"/>
    <w:rsid w:val="00CB20F1"/>
    <w:rsid w:val="00CB71AB"/>
    <w:rsid w:val="00CC4B18"/>
    <w:rsid w:val="00CF79D7"/>
    <w:rsid w:val="00D47874"/>
    <w:rsid w:val="00DA129D"/>
    <w:rsid w:val="00E01849"/>
    <w:rsid w:val="00E0337D"/>
    <w:rsid w:val="00E371BD"/>
    <w:rsid w:val="00E44230"/>
    <w:rsid w:val="00E70D6A"/>
    <w:rsid w:val="00EB56A1"/>
    <w:rsid w:val="00EC621A"/>
    <w:rsid w:val="00F35532"/>
    <w:rsid w:val="00F73454"/>
    <w:rsid w:val="00F75712"/>
    <w:rsid w:val="00FB18E6"/>
    <w:rsid w:val="00FC6C67"/>
    <w:rsid w:val="00FF2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332A4"/>
  <w15:docId w15:val="{0789FCC6-A5BB-4CBC-8AEF-07ED6E95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12"/>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0352"/>
    <w:pPr>
      <w:ind w:left="720"/>
    </w:pPr>
  </w:style>
  <w:style w:type="paragraph" w:styleId="BalloonText">
    <w:name w:val="Balloon Text"/>
    <w:basedOn w:val="Normal"/>
    <w:link w:val="BalloonTextChar"/>
    <w:uiPriority w:val="99"/>
    <w:semiHidden/>
    <w:unhideWhenUsed/>
    <w:rsid w:val="00FF266A"/>
    <w:rPr>
      <w:rFonts w:ascii="Tahoma" w:hAnsi="Tahoma" w:cs="Tahoma"/>
      <w:sz w:val="16"/>
      <w:szCs w:val="16"/>
    </w:rPr>
  </w:style>
  <w:style w:type="character" w:customStyle="1" w:styleId="BalloonTextChar">
    <w:name w:val="Balloon Text Char"/>
    <w:basedOn w:val="DefaultParagraphFont"/>
    <w:link w:val="BalloonText"/>
    <w:uiPriority w:val="99"/>
    <w:semiHidden/>
    <w:rsid w:val="00FF266A"/>
    <w:rPr>
      <w:rFonts w:ascii="Tahoma" w:hAnsi="Tahoma" w:cs="Tahoma"/>
      <w:sz w:val="16"/>
      <w:szCs w:val="16"/>
    </w:rPr>
  </w:style>
  <w:style w:type="table" w:styleId="MediumShading2-Accent6">
    <w:name w:val="Medium Shading 2 Accent 6"/>
    <w:basedOn w:val="TableNormal"/>
    <w:uiPriority w:val="64"/>
    <w:rsid w:val="00C70FF7"/>
    <w:rPr>
      <w:rFonts w:asciiTheme="minorHAnsi" w:eastAsia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C4039C"/>
    <w:pPr>
      <w:tabs>
        <w:tab w:val="center" w:pos="4680"/>
        <w:tab w:val="right" w:pos="9360"/>
      </w:tabs>
    </w:pPr>
  </w:style>
  <w:style w:type="character" w:customStyle="1" w:styleId="HeaderChar">
    <w:name w:val="Header Char"/>
    <w:basedOn w:val="DefaultParagraphFont"/>
    <w:link w:val="Header"/>
    <w:uiPriority w:val="99"/>
    <w:rsid w:val="00C4039C"/>
    <w:rPr>
      <w:rFonts w:cs="Cambria"/>
      <w:sz w:val="24"/>
      <w:szCs w:val="24"/>
    </w:rPr>
  </w:style>
  <w:style w:type="paragraph" w:styleId="Footer">
    <w:name w:val="footer"/>
    <w:basedOn w:val="Normal"/>
    <w:link w:val="FooterChar"/>
    <w:uiPriority w:val="99"/>
    <w:unhideWhenUsed/>
    <w:rsid w:val="00C4039C"/>
    <w:pPr>
      <w:tabs>
        <w:tab w:val="center" w:pos="4680"/>
        <w:tab w:val="right" w:pos="9360"/>
      </w:tabs>
    </w:pPr>
  </w:style>
  <w:style w:type="character" w:customStyle="1" w:styleId="FooterChar">
    <w:name w:val="Footer Char"/>
    <w:basedOn w:val="DefaultParagraphFont"/>
    <w:link w:val="Footer"/>
    <w:uiPriority w:val="99"/>
    <w:rsid w:val="00C4039C"/>
    <w:rPr>
      <w:rFonts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7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SUNY Oswego</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Campus Technology Services</dc:creator>
  <cp:lastModifiedBy>Jennifer L Knapp</cp:lastModifiedBy>
  <cp:revision>2</cp:revision>
  <cp:lastPrinted>2014-11-13T19:22:00Z</cp:lastPrinted>
  <dcterms:created xsi:type="dcterms:W3CDTF">2015-01-20T13:40:00Z</dcterms:created>
  <dcterms:modified xsi:type="dcterms:W3CDTF">2015-01-20T13:40:00Z</dcterms:modified>
</cp:coreProperties>
</file>